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2fd123d0874b93" /></Relationships>
</file>

<file path=word/document.xml><?xml version="1.0" encoding="utf-8"?>
<w:document xmlns:r="http://schemas.openxmlformats.org/officeDocument/2006/relationships" xmlns:w="http://schemas.openxmlformats.org/wordprocessingml/2006/main">
  <w:body>
    <w:p>
      <w:pPr>
        <w:pStyle w:val="Title"/>
      </w:pPr>
      <w:r>
        <w:t>Non-school qualification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Non-school qualification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413211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c89db6214c4f69">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These data elements are used in conjunction with each other to determine whether a person has a non-school qualification and if so, the level of that qualification.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Non-school qualification cluster comprises two data elements that determine a person's non-school-qualification.</w:t>
            </w:r>
          </w:p>
          <w:p>
            <w:pPr>
              <w:spacing w:after="160"/>
            </w:pPr>
            <w:r>
              <w:rPr>
                <w:rStyle w:val="row-content-rich-text"/>
              </w:rPr>
              <w:t xml:space="preserve">This is achieved through the combination of the two data elements: </w:t>
            </w:r>
            <w:r>
              <w:rPr>
                <w:rStyle w:val="row-content-rich-text"/>
                <w:i/>
              </w:rPr>
              <w:t xml:space="preserve">Person—non-school qualification indicator, yes/no/not stated/inadequately described code N</w:t>
            </w:r>
            <w:r>
              <w:rPr>
                <w:rStyle w:val="row-content-rich-text"/>
              </w:rPr>
              <w:t xml:space="preserve"> and </w:t>
            </w:r>
            <w:r>
              <w:rPr>
                <w:rStyle w:val="row-content-rich-text"/>
                <w:i/>
              </w:rPr>
              <w:t xml:space="preserve">Person—level of highest non-school qualification, code N</w:t>
            </w:r>
            <w:r>
              <w:rPr>
                <w:rStyle w:val="row-content-rich-text"/>
              </w:rPr>
              <w:t xml:space="preserve">.</w:t>
            </w:r>
          </w:p>
          <w:p>
            <w:pPr>
              <w:spacing w:after="160"/>
            </w:pPr>
            <w:r>
              <w:rPr>
                <w:rStyle w:val="row-content-rich-text"/>
              </w:rPr>
              <w:t xml:space="preserve">The Non-school qualification cluster describes the following information:</w:t>
            </w:r>
          </w:p>
          <w:p>
            <w:pPr>
              <w:spacing w:after="160"/>
            </w:pPr>
            <w:r>
              <w:rPr>
                <w:rStyle w:val="row-content-rich-text"/>
              </w:rPr>
              <w:t xml:space="preserve"> </w:t>
            </w:r>
          </w:p>
          <w:p>
            <w:pPr>
              <w:spacing w:after="160"/>
            </w:pPr>
            <w:r>
              <w:rPr>
                <w:rStyle w:val="row-content-rich-text"/>
              </w:rPr>
              <w:t xml:space="preserve"> </w:t>
            </w:r>
          </w:p>
          <w:tbl>
            <w:tblPr>
              <w:tblStyle w:val="TableGrid"/>
              <w:tblW w:w="5000" w:type="pct"/>
              <w:tblLayout w:type="autofit"/>
            </w:tblPr>
            <w:tblGrid>
              <w:gridCol/>
              <w:gridCol/>
              <w:gridCol/>
            </w:tblGrid>
            <w:tr>
              <w:trPr/>
              <w:tc>
                <w:tcPr>
                  <w:tcW w:w="2500" w:type="pct"/>
                  <w:vAlign w:val="top"/>
                </w:tcPr>
                <w:p>
                  <w:pPr/>
                  <w:r>
                    <w:rPr>
                      <w:rStyle w:val="row-content-rich-text"/>
                    </w:rPr>
                    <w:t xml:space="preserve"> </w:t>
                  </w:r>
                  <w:r>
                    <w:rPr>
                      <w:rStyle w:val="row-content-rich-text"/>
                    </w:rPr>
                    <w:t xml:space="preserve">Data element</w:t>
                  </w:r>
                </w:p>
              </w:tc>
              <w:tc>
                <w:tcPr>
                  <w:tcW w:w="1550" w:type="pct"/>
                  <w:vAlign w:val="top"/>
                </w:tcPr>
                <w:p>
                  <w:r>
                    <w:t xml:space="preserve"> </w:t>
                  </w:r>
                </w:p>
              </w:tc>
              <w:tc>
                <w:tcPr>
                  <w:tcW w:w="900" w:type="pct"/>
                  <w:vAlign w:val="top"/>
                </w:tcPr>
                <w:p>
                  <w:r>
                    <w:t xml:space="preserve"> </w:t>
                  </w:r>
                </w:p>
              </w:tc>
            </w:tr>
            <w:tr>
              <w:trPr/>
              <w:tc>
                <w:tcPr>
                  <w:tcW w:w="2500" w:type="pct"/>
                  <w:vAlign w:val="top"/>
                </w:tcPr>
                <w:p>
                  <w:r>
                    <w:t xml:space="preserve">Non-school qualification indicator</w:t>
                  </w:r>
                </w:p>
              </w:tc>
              <w:tc>
                <w:tcPr>
                  <w:tcW w:w="1550" w:type="pct"/>
                  <w:vAlign w:val="top"/>
                </w:tcPr>
                <w:p>
                  <w:r>
                    <w:t xml:space="preserve">Yes</w:t>
                  </w:r>
                </w:p>
              </w:tc>
              <w:tc>
                <w:tcPr>
                  <w:tcW w:w="900" w:type="pct"/>
                  <w:vAlign w:val="top"/>
                </w:tcPr>
                <w:p>
                  <w:r>
                    <w:t xml:space="preserve">No</w:t>
                  </w:r>
                </w:p>
              </w:tc>
            </w:tr>
            <w:tr>
              <w:trPr/>
              <w:tc>
                <w:tcPr>
                  <w:tcW w:w="2500" w:type="pct"/>
                  <w:vAlign w:val="top"/>
                </w:tcPr>
                <w:p>
                  <w:r>
                    <w:t xml:space="preserve">Level of non-school qualification</w:t>
                  </w:r>
                </w:p>
              </w:tc>
              <w:tc>
                <w:tcPr>
                  <w:tcW w:w="1550" w:type="pct"/>
                  <w:vAlign w:val="top"/>
                </w:tcPr>
                <w:p>
                  <w:r>
                    <w:t xml:space="preserve">Code N</w:t>
                  </w:r>
                </w:p>
              </w:tc>
              <w:tc>
                <w:tcPr>
                  <w:tcW w:w="900" w:type="pct"/>
                  <w:vAlign w:val="top"/>
                </w:tcPr>
                <w:p>
                  <w:r>
                    <w:t xml:space="preserve">N/A</w:t>
                  </w:r>
                </w:p>
              </w:tc>
            </w:tr>
          </w:tbl>
          <w:p>
            <w:r>
              <w:t xml:space="preserve"> </w:t>
            </w:r>
          </w:p>
          <w:p>
            <w:r>
              <w:t xml:space="preserve"> N/A is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on a prison entrant's non-school qualifications is collected as part of the reception assessment on the National Prisoner Health Census Prison Entrants form.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9d6e2d7439549fd">
              <w:r>
                <w:rPr>
                  <w:rStyle w:val="Hyperlink"/>
                </w:rPr>
                <w:t xml:space="preserve">Non-school qualifications cluster</w:t>
              </w:r>
            </w:hyperlink>
          </w:p>
          <w:p>
            <w:pPr>
              <w:spacing w:before="0" w:after="0"/>
            </w:pPr>
            <w:r>
              <w:rPr>
                <w:rStyle w:val="row-content"/>
                <w:color w:val="244061"/>
              </w:rPr>
              <w:t xml:space="preserve">       </w:t>
            </w:r>
            <w:hyperlink w:history="true" r:id="R377d32f9af314b8e">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cd1718c5e234a29">
              <w:r>
                <w:rPr>
                  <w:rStyle w:val="Hyperlink"/>
                </w:rPr>
                <w:t xml:space="preserve">Prison entrants DSS</w:t>
              </w:r>
            </w:hyperlink>
          </w:p>
          <w:p>
            <w:pPr>
              <w:spacing w:before="0" w:after="0"/>
            </w:pPr>
            <w:r>
              <w:rPr>
                <w:rStyle w:val="row-content"/>
                <w:color w:val="244061"/>
              </w:rPr>
              <w:t xml:space="preserve">       </w:t>
            </w:r>
            <w:hyperlink w:history="true" r:id="R11140b5c87d94a8e">
              <w:r>
                <w:rPr>
                  <w:rStyle w:val="Hyperlink"/>
                  <w:color w:val="244061"/>
                </w:rPr>
                <w:t xml:space="preserve">Health</w:t>
              </w:r>
            </w:hyperlink>
            <w:r>
              <w:rPr>
                <w:rStyle w:val="row-content"/>
                <w:color w:val="244061"/>
              </w:rPr>
              <w:t xml:space="preserve">, Superseded 28/04/2016</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743ffeaf4ba48a0">
                    <w:r>
                      <w:rPr>
                        <w:rStyle w:val="Hyperlink"/>
                      </w:rPr>
                      <w:t xml:space="preserve">Person—non-school qualification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8f2af986d5aa427c">
                    <w:r>
                      <w:rPr>
                        <w:rStyle w:val="Hyperlink"/>
                      </w:rPr>
                      <w:t xml:space="preserve">Person—level of highest non-school qualification, code N</w:t>
                    </w:r>
                  </w:hyperlink>
                </w:p>
                <w:p>
                  <w:r>
                    <w:rPr>
                      <w:b/>
                      <w:i/>
                      <w:color w:val="333333"/>
                    </w:rPr>
                    <w:t xml:space="preserve">Conditional obligation:</w:t>
                  </w:r>
                </w:p>
                <w:p>
                  <w:r>
                    <w:t xml:space="preserve">Conditional on the person having completed a non-school qualification.</w:t>
                  </w:r>
                </w:p>
                <w:p>
                  <w:r>
                    <w:rPr>
                      <w:b/>
                      <w:i/>
                      <w:color w:val="333333"/>
                    </w:rPr>
                    <w:t xml:space="preserve">DSS specific information:</w:t>
                  </w:r>
                </w:p>
                <w:p>
                  <w:r>
                    <w:t xml:space="preserve">This data element is included in the Prisoner Health DSS as the National Prisoner Health Indicators includes the indicator: Proportion of prison entrants by highest level of completed education.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c5430ef1fe36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413211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b2bd52b550844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5430ef1fe364775" /><Relationship Type="http://schemas.openxmlformats.org/officeDocument/2006/relationships/header" Target="/word/header1.xml" Id="R1ff8eaa229a64e85" /><Relationship Type="http://schemas.openxmlformats.org/officeDocument/2006/relationships/settings" Target="/word/settings.xml" Id="R5ac1976194314de0" /><Relationship Type="http://schemas.openxmlformats.org/officeDocument/2006/relationships/styles" Target="/word/styles.xml" Id="R74a84f08f6804bb7" /><Relationship Type="http://schemas.openxmlformats.org/officeDocument/2006/relationships/hyperlink" Target="https://meteor.aihw.gov.au/RegistrationAuthority/12" TargetMode="External" Id="R2cc89db6214c4f69" /><Relationship Type="http://schemas.openxmlformats.org/officeDocument/2006/relationships/hyperlink" Target="https://meteor.aihw.gov.au/content/627004" TargetMode="External" Id="Ra9d6e2d7439549fd" /><Relationship Type="http://schemas.openxmlformats.org/officeDocument/2006/relationships/hyperlink" Target="https://meteor.aihw.gov.au/RegistrationAuthority/12" TargetMode="External" Id="R377d32f9af314b8e" /><Relationship Type="http://schemas.openxmlformats.org/officeDocument/2006/relationships/hyperlink" Target="https://meteor.aihw.gov.au/content/395955" TargetMode="External" Id="Rccd1718c5e234a29" /><Relationship Type="http://schemas.openxmlformats.org/officeDocument/2006/relationships/hyperlink" Target="https://meteor.aihw.gov.au/RegistrationAuthority/12" TargetMode="External" Id="R11140b5c87d94a8e" /><Relationship Type="http://schemas.openxmlformats.org/officeDocument/2006/relationships/hyperlink" Target="https://meteor.aihw.gov.au/content/376009" TargetMode="External" Id="Rb743ffeaf4ba48a0" /><Relationship Type="http://schemas.openxmlformats.org/officeDocument/2006/relationships/hyperlink" Target="https://meteor.aihw.gov.au/content/398769" TargetMode="External" Id="R8f2af986d5aa427c" /></Relationships>
</file>

<file path=word/_rels/header1.xml.rels>&#65279;<?xml version="1.0" encoding="utf-8"?><Relationships xmlns="http://schemas.openxmlformats.org/package/2006/relationships"><Relationship Type="http://schemas.openxmlformats.org/officeDocument/2006/relationships/image" Target="/media/image.png" Id="R8b2bd52b550844f3" /></Relationships>
</file>