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1983a33d445cd" /></Relationships>
</file>

<file path=word/document.xml><?xml version="1.0" encoding="utf-8"?>
<w:document xmlns:r="http://schemas.openxmlformats.org/officeDocument/2006/relationships" xmlns:w="http://schemas.openxmlformats.org/wordprocessingml/2006/main">
  <w:body>
    <w:p>
      <w:pPr>
        <w:pStyle w:val="Title"/>
      </w:pPr>
      <w:r>
        <w:t>Specialist Homelessness Establishment Database - 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Establishment Database - SHED</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edfcb52d1e146b3">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3078eaa422642af">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38d618fd3b94032">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84e8439344b84733">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68cf0dff85f460b">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96e3a6478a7441a">
                    <w:r>
                      <w:rPr>
                        <w:rStyle w:val="Hyperlink"/>
                      </w:rPr>
                      <w:t xml:space="preserve">Building/complex sub-unit number (service provider organisation)</w:t>
                    </w:r>
                  </w:hyperlink>
                </w:p>
              </w:tc>
              <w:tc>
                <w:tcPr>
                  <w:vAlign w:val="top"/>
                </w:tcPr>
                <w:p>
                  <w:r>
                    <w:t xml:space="preserve">290291</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482846a29f4da0">
                    <w:r>
                      <w:rPr>
                        <w:rStyle w:val="Hyperlink"/>
                      </w:rPr>
                      <w:t xml:space="preserve">Building/complex sub-unit type—abbreviation (service provider organisation)</w:t>
                    </w:r>
                  </w:hyperlink>
                </w:p>
              </w:tc>
              <w:tc>
                <w:tcPr>
                  <w:vAlign w:val="top"/>
                </w:tcPr>
                <w:p>
                  <w:r>
                    <w:t xml:space="preserve">290278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c94358cf35704159">
                    <w:r>
                      <w:rPr>
                        <w:rStyle w:val="Hyperlink"/>
                      </w:rPr>
                      <w:t xml:space="preserve">Building/property name (service provider organisation)</w:t>
                    </w:r>
                  </w:hyperlink>
                </w:p>
              </w:tc>
              <w:tc>
                <w:tcPr>
                  <w:vAlign w:val="top"/>
                </w:tcPr>
                <w:p>
                  <w:r>
                    <w:t xml:space="preserve">290295</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9d070310b464c37">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693f2dab191417a">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b038a1fad2f42ee">
                    <w:r>
                      <w:rPr>
                        <w:rStyle w:val="Hyperlink"/>
                      </w:rPr>
                      <w:t xml:space="preserve">Floor/level number (service provider organisation)</w:t>
                    </w:r>
                  </w:hyperlink>
                </w:p>
              </w:tc>
              <w:tc>
                <w:tcPr>
                  <w:vAlign w:val="top"/>
                </w:tcPr>
                <w:p>
                  <w:r>
                    <w:t xml:space="preserve">290264</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9f221e2c2134f02">
                    <w:r>
                      <w:rPr>
                        <w:rStyle w:val="Hyperlink"/>
                      </w:rPr>
                      <w:t xml:space="preserve">Floor/level type (service provider organisation)</w:t>
                    </w:r>
                  </w:hyperlink>
                </w:p>
              </w:tc>
              <w:tc>
                <w:tcPr>
                  <w:vAlign w:val="top"/>
                </w:tcPr>
                <w:p>
                  <w:r>
                    <w:t xml:space="preserve">290245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b8e8dfe8a43042cf">
                    <w:r>
                      <w:rPr>
                        <w:rStyle w:val="Hyperlink"/>
                      </w:rPr>
                      <w:t xml:space="preserve">House/property number (service provider organisation)</w:t>
                    </w:r>
                  </w:hyperlink>
                </w:p>
              </w:tc>
              <w:tc>
                <w:tcPr>
                  <w:vAlign w:val="top"/>
                </w:tcPr>
                <w:p>
                  <w:r>
                    <w:t xml:space="preserve">290241</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ba01f7c7f5845c3">
                    <w:r>
                      <w:rPr>
                        <w:rStyle w:val="Hyperlink"/>
                      </w:rPr>
                      <w:t xml:space="preserve">Lot/section number (service provider organisation)</w:t>
                    </w:r>
                  </w:hyperlink>
                </w:p>
              </w:tc>
              <w:tc>
                <w:tcPr>
                  <w:vAlign w:val="top"/>
                </w:tcPr>
                <w:p>
                  <w:r>
                    <w:t xml:space="preserve">290230</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c46cc32f51642d0">
                    <w:r>
                      <w:rPr>
                        <w:rStyle w:val="Hyperlink"/>
                      </w:rPr>
                      <w:t xml:space="preserve">Street name (service provider organisation)</w:t>
                    </w:r>
                  </w:hyperlink>
                </w:p>
              </w:tc>
              <w:tc>
                <w:tcPr>
                  <w:vAlign w:val="top"/>
                </w:tcPr>
                <w:p>
                  <w:r>
                    <w:t xml:space="preserve">290218</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322f5007bb8b4211">
                    <w:r>
                      <w:rPr>
                        <w:rStyle w:val="Hyperlink"/>
                      </w:rPr>
                      <w:t xml:space="preserve">Street suffix code (service provider organisation)</w:t>
                    </w:r>
                  </w:hyperlink>
                </w:p>
              </w:tc>
              <w:tc>
                <w:tcPr>
                  <w:vAlign w:val="top"/>
                </w:tcPr>
                <w:p>
                  <w:r>
                    <w:t xml:space="preserve">290170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e81ad64aed594844">
                    <w:r>
                      <w:rPr>
                        <w:rStyle w:val="Hyperlink"/>
                      </w:rPr>
                      <w:t xml:space="preserve">Street type code (service provider organisation) </w:t>
                    </w:r>
                  </w:hyperlink>
                </w:p>
              </w:tc>
              <w:tc>
                <w:tcPr>
                  <w:vAlign w:val="top"/>
                </w:tcPr>
                <w:p>
                  <w:r>
                    <w:t xml:space="preserve">290193</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921f595f019a426c">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020d79bb17348e8">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8b444a6019244b4">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746e9491f2a4df7">
                    <w:r>
                      <w:rPr>
                        <w:rStyle w:val="Hyperlink"/>
                      </w:rPr>
                      <w:t xml:space="preserve">Collection participation indicator</w:t>
                    </w:r>
                  </w:hyperlink>
                </w:p>
              </w:tc>
              <w:tc>
                <w:tcPr>
                  <w:vAlign w:val="top"/>
                </w:tcPr>
                <w:p>
                  <w:r>
                    <w:t xml:space="preserve">417419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81a0edca7d74935">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c9acff5255c4a59">
                    <w:r>
                      <w:rPr>
                        <w:rStyle w:val="Hyperlink"/>
                      </w:rPr>
                      <w:t xml:space="preserve">Funding end date</w:t>
                    </w:r>
                  </w:hyperlink>
                </w:p>
              </w:tc>
              <w:tc>
                <w:tcPr>
                  <w:vAlign w:val="top"/>
                </w:tcPr>
                <w:p>
                  <w:r>
                    <w:t xml:space="preserve">336775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e1a39393f3c4d9d">
                    <w:r>
                      <w:rPr>
                        <w:rStyle w:val="Hyperlink"/>
                      </w:rPr>
                      <w:t xml:space="preserve">Funding start date</w:t>
                    </w:r>
                  </w:hyperlink>
                </w:p>
              </w:tc>
              <w:tc>
                <w:tcPr>
                  <w:vAlign w:val="top"/>
                </w:tcPr>
                <w:p>
                  <w:r>
                    <w:t xml:space="preserve">336746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11d2c8985ec429d">
                    <w:r>
                      <w:rPr>
                        <w:rStyle w:val="Hyperlink"/>
                      </w:rPr>
                      <w:t xml:space="preserve">Local Government Area</w:t>
                    </w:r>
                  </w:hyperlink>
                </w:p>
              </w:tc>
              <w:tc>
                <w:tcPr>
                  <w:vAlign w:val="top"/>
                </w:tcPr>
                <w:p>
                  <w:r>
                    <w:t xml:space="preserve">426356</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66fc090b22124ea1">
                    <w:r>
                      <w:rPr>
                        <w:rStyle w:val="Hyperlink"/>
                      </w:rPr>
                      <w:t xml:space="preserve">Government funding allocated (agency level)</w:t>
                    </w:r>
                  </w:hyperlink>
                </w:p>
              </w:tc>
              <w:tc>
                <w:tcPr>
                  <w:vAlign w:val="top"/>
                </w:tcPr>
                <w:p>
                  <w:r>
                    <w:t xml:space="preserve">336819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52f06f2402f42d1">
                    <w:r>
                      <w:rPr>
                        <w:rStyle w:val="Hyperlink"/>
                      </w:rPr>
                      <w:t xml:space="preserve">Multiple delivery point indicator</w:t>
                    </w:r>
                  </w:hyperlink>
                </w:p>
              </w:tc>
              <w:tc>
                <w:tcPr>
                  <w:vAlign w:val="top"/>
                </w:tcPr>
                <w:p>
                  <w:r>
                    <w:t xml:space="preserve">418474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3cc1f92d1484924">
                    <w:r>
                      <w:rPr>
                        <w:rStyle w:val="Hyperlink"/>
                      </w:rPr>
                      <w:t xml:space="preserve">Agency identifier (state/territory allocated)</w:t>
                    </w:r>
                  </w:hyperlink>
                </w:p>
              </w:tc>
              <w:tc>
                <w:tcPr>
                  <w:vAlign w:val="top"/>
                </w:tcPr>
                <w:p>
                  <w:r>
                    <w:t xml:space="preserve">416615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9dae5f9f15840e9">
                    <w:r>
                      <w:rPr>
                        <w:rStyle w:val="Hyperlink"/>
                      </w:rPr>
                      <w:t xml:space="preserve">Agency identifier</w:t>
                    </w:r>
                  </w:hyperlink>
                </w:p>
              </w:tc>
              <w:tc>
                <w:tcPr>
                  <w:vAlign w:val="top"/>
                </w:tcPr>
                <w:p>
                  <w:r>
                    <w:t xml:space="preserve">399136</w:t>
                  </w:r>
                </w:p>
              </w:tc>
              <w:tc>
                <w:tcPr>
                  <w:vAlign w:val="top"/>
                </w:tcPr>
                <w:p>
                  <w:r>
                    <w:t xml:space="preserve">String
[5]</w:t>
                  </w:r>
                </w:p>
              </w:tc>
              <w:tc>
                <w:tcPr>
                  <w:vAlign w:val="top"/>
                </w:tcPr>
                <w:p>
                  <w:r>
                    <w:t xml:space="preserve">NNNNA</w:t>
                  </w:r>
                  <w:r>
                    <w:br/>
                  </w:r>
                  <w:r>
                    <w:t xml:space="preserve">A logical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809c4c00c68443c">
                    <w:r>
                      <w:rPr>
                        <w:rStyle w:val="Hyperlink"/>
                      </w:rPr>
                      <w:t xml:space="preserve">Region identifier</w:t>
                    </w:r>
                  </w:hyperlink>
                </w:p>
              </w:tc>
              <w:tc>
                <w:tcPr>
                  <w:vAlign w:val="top"/>
                </w:tcPr>
                <w:p>
                  <w:r>
                    <w:t xml:space="preserve">417366</w:t>
                  </w:r>
                </w:p>
              </w:tc>
              <w:tc>
                <w:tcPr>
                  <w:vAlign w:val="top"/>
                </w:tcPr>
                <w:p>
                  <w:r>
                    <w:t xml:space="preserve">String
[60]</w:t>
                  </w:r>
                </w:p>
              </w:tc>
              <w:tc>
                <w:tcPr>
                  <w:vAlign w:val="top"/>
                </w:tcPr>
                <w:p>
                  <w:r>
                    <w:t xml:space="preserve">X[59]</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4bf337a6c3e4c4f">
                    <w:r>
                      <w:rPr>
                        <w:rStyle w:val="Hyperlink"/>
                      </w:rPr>
                      <w:t xml:space="preserve">Temporary closure end date</w:t>
                    </w:r>
                  </w:hyperlink>
                </w:p>
              </w:tc>
              <w:tc>
                <w:tcPr>
                  <w:vAlign w:val="top"/>
                </w:tcPr>
                <w:p>
                  <w:r>
                    <w:t xml:space="preserve">336876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f20e8024fc54e71">
                    <w:r>
                      <w:rPr>
                        <w:rStyle w:val="Hyperlink"/>
                      </w:rPr>
                      <w:t xml:space="preserve">Temporary closure start date</w:t>
                    </w:r>
                  </w:hyperlink>
                </w:p>
              </w:tc>
              <w:tc>
                <w:tcPr>
                  <w:vAlign w:val="top"/>
                </w:tcPr>
                <w:p>
                  <w:r>
                    <w:t xml:space="preserve">336869</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4919e2816a8841c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413035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db235a0ac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9e2816a8841cc" /><Relationship Type="http://schemas.openxmlformats.org/officeDocument/2006/relationships/header" Target="/word/header1.xml" Id="R6b92f6cb17ed43cd" /><Relationship Type="http://schemas.openxmlformats.org/officeDocument/2006/relationships/settings" Target="/word/settings.xml" Id="Rc64c1aa9e83f4bd5" /><Relationship Type="http://schemas.openxmlformats.org/officeDocument/2006/relationships/styles" Target="/word/styles.xml" Id="R9484b4b4bc0d4dc4" /><Relationship Type="http://schemas.openxmlformats.org/officeDocument/2006/relationships/hyperlink" Target="https://meteor.aihw.gov.au/content/286953" TargetMode="External" Id="R6edfcb52d1e146b3" /><Relationship Type="http://schemas.openxmlformats.org/officeDocument/2006/relationships/hyperlink" Target="https://meteor.aihw.gov.au/content/287035" TargetMode="External" Id="R33078eaa422642af" /><Relationship Type="http://schemas.openxmlformats.org/officeDocument/2006/relationships/hyperlink" Target="https://meteor.aihw.gov.au/content/287166" TargetMode="External" Id="Rb38d618fd3b94032" /><Relationship Type="http://schemas.openxmlformats.org/officeDocument/2006/relationships/hyperlink" Target="https://meteor.aihw.gov.au/content/290315" TargetMode="External" Id="R84e8439344b84733" /><Relationship Type="http://schemas.openxmlformats.org/officeDocument/2006/relationships/hyperlink" Target="https://meteor.aihw.gov.au/content/290064" TargetMode="External" Id="Rf68cf0dff85f460b" /><Relationship Type="http://schemas.openxmlformats.org/officeDocument/2006/relationships/hyperlink" Target="https://meteor.aihw.gov.au/content/290291" TargetMode="External" Id="R196e3a6478a7441a" /><Relationship Type="http://schemas.openxmlformats.org/officeDocument/2006/relationships/hyperlink" Target="https://meteor.aihw.gov.au/content/290278" TargetMode="External" Id="R07482846a29f4da0" /><Relationship Type="http://schemas.openxmlformats.org/officeDocument/2006/relationships/hyperlink" Target="https://meteor.aihw.gov.au/content/290295" TargetMode="External" Id="Rc94358cf35704159" /><Relationship Type="http://schemas.openxmlformats.org/officeDocument/2006/relationships/hyperlink" Target="https://meteor.aihw.gov.au/content/287480" TargetMode="External" Id="R99d070310b464c37" /><Relationship Type="http://schemas.openxmlformats.org/officeDocument/2006/relationships/hyperlink" Target="https://meteor.aihw.gov.au/content/287521" TargetMode="External" Id="R6693f2dab191417a" /><Relationship Type="http://schemas.openxmlformats.org/officeDocument/2006/relationships/hyperlink" Target="https://meteor.aihw.gov.au/content/290264" TargetMode="External" Id="R6b038a1fad2f42ee" /><Relationship Type="http://schemas.openxmlformats.org/officeDocument/2006/relationships/hyperlink" Target="https://meteor.aihw.gov.au/content/290245" TargetMode="External" Id="R29f221e2c2134f02" /><Relationship Type="http://schemas.openxmlformats.org/officeDocument/2006/relationships/hyperlink" Target="https://meteor.aihw.gov.au/content/290241" TargetMode="External" Id="Rb8e8dfe8a43042cf" /><Relationship Type="http://schemas.openxmlformats.org/officeDocument/2006/relationships/hyperlink" Target="https://meteor.aihw.gov.au/content/290230" TargetMode="External" Id="Rfba01f7c7f5845c3" /><Relationship Type="http://schemas.openxmlformats.org/officeDocument/2006/relationships/hyperlink" Target="https://meteor.aihw.gov.au/content/290218" TargetMode="External" Id="R3c46cc32f51642d0" /><Relationship Type="http://schemas.openxmlformats.org/officeDocument/2006/relationships/hyperlink" Target="https://meteor.aihw.gov.au/content/290170" TargetMode="External" Id="R322f5007bb8b4211" /><Relationship Type="http://schemas.openxmlformats.org/officeDocument/2006/relationships/hyperlink" Target="https://meteor.aihw.gov.au/content/290193" TargetMode="External" Id="Re81ad64aed594844" /><Relationship Type="http://schemas.openxmlformats.org/officeDocument/2006/relationships/hyperlink" Target="https://meteor.aihw.gov.au/content/290059" TargetMode="External" Id="R921f595f019a426c" /><Relationship Type="http://schemas.openxmlformats.org/officeDocument/2006/relationships/hyperlink" Target="https://meteor.aihw.gov.au/content/288917" TargetMode="External" Id="R2020d79bb17348e8" /><Relationship Type="http://schemas.openxmlformats.org/officeDocument/2006/relationships/hyperlink" Target="https://meteor.aihw.gov.au/content/289083" TargetMode="External" Id="R48b444a6019244b4" /><Relationship Type="http://schemas.openxmlformats.org/officeDocument/2006/relationships/hyperlink" Target="https://meteor.aihw.gov.au/content/417419" TargetMode="External" Id="R0746e9491f2a4df7" /><Relationship Type="http://schemas.openxmlformats.org/officeDocument/2006/relationships/hyperlink" Target="https://meteor.aihw.gov.au/content/321039" TargetMode="External" Id="R081a0edca7d74935" /><Relationship Type="http://schemas.openxmlformats.org/officeDocument/2006/relationships/hyperlink" Target="https://meteor.aihw.gov.au/content/336775" TargetMode="External" Id="Rbc9acff5255c4a59" /><Relationship Type="http://schemas.openxmlformats.org/officeDocument/2006/relationships/hyperlink" Target="https://meteor.aihw.gov.au/content/336746" TargetMode="External" Id="R8e1a39393f3c4d9d" /><Relationship Type="http://schemas.openxmlformats.org/officeDocument/2006/relationships/hyperlink" Target="https://meteor.aihw.gov.au/content/426356" TargetMode="External" Id="R511d2c8985ec429d" /><Relationship Type="http://schemas.openxmlformats.org/officeDocument/2006/relationships/hyperlink" Target="https://meteor.aihw.gov.au/content/336819" TargetMode="External" Id="R66fc090b22124ea1" /><Relationship Type="http://schemas.openxmlformats.org/officeDocument/2006/relationships/hyperlink" Target="https://meteor.aihw.gov.au/content/418474" TargetMode="External" Id="R752f06f2402f42d1" /><Relationship Type="http://schemas.openxmlformats.org/officeDocument/2006/relationships/hyperlink" Target="https://meteor.aihw.gov.au/content/416615" TargetMode="External" Id="Rb3cc1f92d1484924" /><Relationship Type="http://schemas.openxmlformats.org/officeDocument/2006/relationships/hyperlink" Target="https://meteor.aihw.gov.au/content/399136" TargetMode="External" Id="R59dae5f9f15840e9" /><Relationship Type="http://schemas.openxmlformats.org/officeDocument/2006/relationships/hyperlink" Target="https://meteor.aihw.gov.au/content/417366" TargetMode="External" Id="R3809c4c00c68443c" /><Relationship Type="http://schemas.openxmlformats.org/officeDocument/2006/relationships/hyperlink" Target="https://meteor.aihw.gov.au/content/336876" TargetMode="External" Id="R74bf337a6c3e4c4f" /><Relationship Type="http://schemas.openxmlformats.org/officeDocument/2006/relationships/hyperlink" Target="https://meteor.aihw.gov.au/content/336869" TargetMode="External" Id="R1f20e8024fc54e71" /></Relationships>
</file>

<file path=word/_rels/header1.xml.rels>&#65279;<?xml version="1.0" encoding="utf-8"?><Relationships xmlns="http://schemas.openxmlformats.org/package/2006/relationships"><Relationship Type="http://schemas.openxmlformats.org/officeDocument/2006/relationships/image" Target="/media/image.png" Id="R08cdb235a0ac4997" /></Relationships>
</file>