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0189f0e5934ed4" /></Relationships>
</file>

<file path=word/document.xml><?xml version="1.0" encoding="utf-8"?>
<w:document xmlns:r="http://schemas.openxmlformats.org/officeDocument/2006/relationships" xmlns:w="http://schemas.openxmlformats.org/wordprocessingml/2006/main">
  <w:body>
    <w:p>
      <w:pPr>
        <w:pStyle w:val="Title"/>
      </w:pPr>
      <w:r>
        <w:t>National Affordability Housing Agreement: g-Proportion of Indigenous households living in overcrowded conditions,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Affordability Housing Agreement: g-Proportion of Indigenous households living in overcrowded conditions,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15042d2309484d">
              <w:r>
                <w:rPr>
                  <w:rStyle w:val="Hyperlink"/>
                  <w:color w:val="244061"/>
                </w:rPr>
                <w:t xml:space="preserve">Homelessness</w:t>
              </w:r>
            </w:hyperlink>
            <w:r>
              <w:rPr>
                <w:rStyle w:val="row-content"/>
                <w:color w:val="244061"/>
              </w:rPr>
              <w:t xml:space="preserve">, Standard 16/02/2011</w:t>
            </w:r>
          </w:p>
          <w:p>
            <w:pPr>
              <w:spacing w:before="0" w:after="0"/>
            </w:pPr>
            <w:hyperlink w:history="true" r:id="R87042efacc11421e">
              <w:r>
                <w:rPr>
                  <w:rStyle w:val="Hyperlink"/>
                  <w:color w:val="244061"/>
                </w:rPr>
                <w:t xml:space="preserve">Indigenous</w:t>
              </w:r>
            </w:hyperlink>
            <w:r>
              <w:rPr>
                <w:rStyle w:val="row-content"/>
                <w:color w:val="244061"/>
              </w:rPr>
              <w:t xml:space="preserve">, Standard 11/09/2012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r>
              <w:rPr>
                <w:rStyle w:val="row-content-rich-text"/>
              </w:rPr>
              <w:t xml:space="preserve">Summary statement not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 (AIHW) has calculated this indicator using data provided by all states and territories. 2007-08 housing assistance data was provided to the AIHW in accordance with the requirements of the National Housing Data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Public rental housing and SOMIH data repository</w:t>
            </w:r>
            <w:r>
              <w:rPr>
                <w:rStyle w:val="row-content-rich-text"/>
              </w:rPr>
              <w:t xml:space="preserve">: Data collection is annual. Data is available within 5 months of the end of the reference period. Data for this report is as at 30 June 2008 based on the 2007-08 data collection. Data for the 2008–09 collection will be finalised in  November 2009.</w:t>
            </w:r>
            <w:r>
              <w:br/>
            </w:r>
            <w:r>
              <w:rPr>
                <w:rStyle w:val="row-content-rich-text"/>
                <w:u w:val="single"/>
              </w:rPr>
              <w:t xml:space="preserve">Indigenous Housing Indicators</w:t>
            </w:r>
            <w:r>
              <w:rPr>
                <w:rStyle w:val="row-content-rich-text"/>
              </w:rPr>
              <w:t xml:space="preserve">: Data collection is annual. Data is available within 11 months of the end of the reference period. Data for this report is as at 30 June 2008 based on the 2007-08 data collection. Data for the 2008–09 collection will be finalised in January 2010. Qld: Overcrowding data is from a 2006-07 property audit, currently the source with best coverage and accuracy.</w:t>
            </w:r>
          </w:p>
          <w:p>
            <w:pPr/>
            <w:r>
              <w:rPr>
                <w:rStyle w:val="row-content-rich-text"/>
              </w:rPr>
              <w:t xml:space="preserve">Data for the 2008–09 collection will be finalised in January 2010. Qld: Overcrowding data is from a 2006-07 property audit, currently the source with best coverage and accuracy.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PH and SOMIH data totals as shown are available publicly. Disaggregations as shown here not published directly but may be requested through the national data repository and subject to jurisdiction approval.</w:t>
            </w:r>
            <w:r>
              <w:br/>
            </w:r>
            <w:r>
              <w:rPr>
                <w:rStyle w:val="row-content-rich-text"/>
              </w:rPr>
              <w:t xml:space="preserve">ICH data as reported (totals only) are available publicly.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these data sources can be found in the National Housing Assistance Data Dictionary (AIHW Cat no. HOU147). Supplementary information can be found in the collection manuals relating to the PH, SOMIH and ICH collections respectively (these are not routinely made publicly available, but may be requested from the AIHW).</w:t>
            </w:r>
            <w:r>
              <w:br/>
            </w:r>
            <w:r>
              <w:rPr>
                <w:rStyle w:val="row-content-rich-text"/>
              </w:rPr>
              <w:t xml:space="preserve">The CNOS is used to determine household utilisation, see </w:t>
            </w:r>
          </w:p>
          <w:p>
            <w:hyperlink w:history="true" r:id="Rf33a14c03dfe49ed">
              <w:r>
                <w:rPr>
                  <w:rStyle w:val="Hyperlink"/>
                </w:rPr>
                <w:t xml:space="preserve">http://meteor.aihw.gov.au</w:t>
              </w:r>
            </w:hyperlink>
            <w:r>
              <w:rPr>
                <w:rStyle w:val="row-content-rich-text"/>
              </w:rPr>
              <w:t xml:space="preserve"> for more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Public rental housing</w:t>
            </w:r>
            <w:r>
              <w:rPr>
                <w:rStyle w:val="row-content-rich-text"/>
              </w:rPr>
              <w:t xml:space="preserve">: Data is not available for NSW, Tas, ACT or NT as these jurisdictions did not provide the data required to calculate the CNOS for 2007-08. All jurisdictions are expected to move to CNOS for the 2009 10 collection onwards.</w:t>
            </w:r>
            <w:r>
              <w:br/>
            </w:r>
            <w:r>
              <w:rPr>
                <w:rStyle w:val="row-content-rich-text"/>
              </w:rPr>
              <w:t xml:space="preserve">There may be issues of Indigenous under-identification in the public rental housing data set.   </w:t>
            </w:r>
          </w:p>
          <w:p>
            <w:pPr>
              <w:spacing w:after="160"/>
            </w:pPr>
            <w:r>
              <w:rPr>
                <w:rStyle w:val="row-content-rich-text"/>
              </w:rPr>
              <w:t xml:space="preserve">The Australian total is not reported due to the limited number of jurisdictions that can report against this indicator.</w:t>
            </w:r>
          </w:p>
          <w:p>
            <w:pPr>
              <w:spacing w:after="160"/>
            </w:pPr>
            <w:r>
              <w:rPr>
                <w:rStyle w:val="row-content-rich-text"/>
                <w:u w:val="single"/>
              </w:rPr>
              <w:t xml:space="preserve">SOMIH</w:t>
            </w:r>
            <w:r>
              <w:rPr>
                <w:rStyle w:val="row-content-rich-text"/>
              </w:rPr>
              <w:t xml:space="preserve">: Data is not available for NSW or Tas as these jurisdictions did not provide the data required to calculate the CNOS for 2007-08. All jurisdictions are expected to move to CNOS for the 2009-10 collection onwards.</w:t>
            </w:r>
            <w:r>
              <w:br/>
            </w:r>
            <w:r>
              <w:rPr>
                <w:rStyle w:val="row-content-rich-text"/>
              </w:rPr>
              <w:t xml:space="preserve"> </w:t>
            </w:r>
          </w:p>
          <w:p>
            <w:pPr>
              <w:spacing w:after="160"/>
            </w:pPr>
            <w:r>
              <w:rPr>
                <w:rStyle w:val="row-content-rich-text"/>
              </w:rPr>
              <w:t xml:space="preserve">There is no SOMIH in the ACT and NT, as all Indigenous-specific housing programs are community managed and administered.</w:t>
            </w:r>
          </w:p>
          <w:p>
            <w:pPr>
              <w:spacing w:after="160"/>
            </w:pPr>
            <w:r>
              <w:rPr>
                <w:rStyle w:val="row-content-rich-text"/>
              </w:rPr>
              <w:t xml:space="preserve">The Australian total is not reported due to the limited number of jurisdictions that can report against this indicator.</w:t>
            </w:r>
            <w:r>
              <w:br/>
            </w:r>
            <w:r>
              <w:rPr>
                <w:rStyle w:val="row-content-rich-text"/>
              </w:rPr>
              <w:t xml:space="preserve"> </w:t>
            </w:r>
          </w:p>
          <w:p>
            <w:pPr>
              <w:spacing w:after="160"/>
            </w:pPr>
            <w:r>
              <w:rPr>
                <w:rStyle w:val="row-content-rich-text"/>
                <w:u w:val="single"/>
              </w:rPr>
              <w:t xml:space="preserve">Community Housing</w:t>
            </w:r>
            <w:r>
              <w:rPr>
                <w:rStyle w:val="row-content-rich-text"/>
              </w:rPr>
              <w:t xml:space="preserve">: Data is not available for mainstream community housing as no jurisdictions currently collect all the data required to report CNOS. The mainstream community housing collection is expected to move to CNOS for the 2009-10 collection onwards.</w:t>
            </w:r>
            <w:r>
              <w:br/>
            </w:r>
            <w:r>
              <w:rPr>
                <w:rStyle w:val="row-content-rich-text"/>
              </w:rPr>
              <w:t xml:space="preserve"> </w:t>
            </w:r>
          </w:p>
          <w:p>
            <w:pPr>
              <w:spacing w:after="160"/>
            </w:pPr>
            <w:r>
              <w:rPr>
                <w:rStyle w:val="row-content-rich-text"/>
                <w:u w:val="single"/>
              </w:rPr>
              <w:t xml:space="preserve">Indigenous community housing (ICH)</w:t>
            </w:r>
            <w:r>
              <w:rPr>
                <w:rStyle w:val="row-content-rich-text"/>
              </w:rPr>
              <w:t xml:space="preserve">: Data is not available for WA and NT as these jurisdictions do not currently collect household level data. Data for SA is not reported due to the extent of data quality issues.</w:t>
            </w:r>
            <w:r>
              <w:br/>
            </w:r>
            <w:r>
              <w:rPr>
                <w:rStyle w:val="row-content-rich-text"/>
              </w:rPr>
              <w:t xml:space="preserve"> </w:t>
            </w:r>
          </w:p>
          <w:p>
            <w:pPr>
              <w:spacing w:after="160"/>
            </w:pPr>
            <w:r>
              <w:rPr>
                <w:rStyle w:val="row-content-rich-text"/>
              </w:rPr>
              <w:t xml:space="preserve">In 2007-08 ICH in Tas fell under the Australian Government jurisdiction. In Qld and Vic, some ICH was funded directly by the Australian Government and some through the state government (and was reported separately under these jurisdictions). In all other states and territories, state and Australian Government funding was pooled and the program overseen (and reported) by the relevant state government.</w:t>
            </w:r>
            <w:r>
              <w:br/>
            </w:r>
            <w:r>
              <w:rPr>
                <w:rStyle w:val="row-content-rich-text"/>
              </w:rPr>
              <w:t xml:space="preserve"> </w:t>
            </w:r>
          </w:p>
          <w:p>
            <w:pPr>
              <w:spacing w:after="160"/>
            </w:pPr>
            <w:r>
              <w:rPr>
                <w:rStyle w:val="row-content-rich-text"/>
              </w:rPr>
              <w:t xml:space="preserve">The Australian total is not reported due to insufficient data for jurisdictions.</w:t>
            </w:r>
            <w:r>
              <w:br/>
            </w:r>
            <w:r>
              <w:rPr>
                <w:rStyle w:val="row-content-rich-text"/>
              </w:rPr>
              <w:t xml:space="preserve"> </w:t>
            </w:r>
          </w:p>
          <w:p>
            <w:pPr/>
            <w:r>
              <w:rPr>
                <w:rStyle w:val="row-content-rich-text"/>
              </w:rPr>
              <w:t xml:space="preserve">ICH data is not available by remoteness at this time, however data from the ABS CHINS survey indicates that the majority of ICH dwellings are in remote and very remote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All programs</w:t>
            </w:r>
            <w:r>
              <w:rPr>
                <w:rStyle w:val="row-content-rich-text"/>
              </w:rPr>
              <w:t xml:space="preserve">:</w:t>
            </w:r>
            <w:r>
              <w:br/>
            </w:r>
            <w:r>
              <w:rPr>
                <w:rStyle w:val="row-content-rich-text"/>
              </w:rPr>
              <w:t xml:space="preserve">For confidentiality reasons, numerators with small cell sizes (those less than 5 and the next smallest cell) and corresponding proportions are reported as np (not published).</w:t>
            </w:r>
          </w:p>
          <w:p>
            <w:pPr>
              <w:spacing w:after="160"/>
            </w:pPr>
            <w:r>
              <w:rPr>
                <w:rStyle w:val="row-content-rich-text"/>
              </w:rPr>
              <w:t xml:space="preserve">The age, sex and single/couple status of every person within a household is required to calculate overcrowding using the CNOS. Those households with incomplete person data were excluded from analysis. In Victoria, 2 public housing and 3 SOMIH households were excluded. In WA, one SOMIH household was excluded. In SA, 33 public housing and 29 SOMIH households were excluded. ICH CNOS data was received as a combination of aggregate and unit record data. Of the unit record data provided (598 households), 49 households in Vic and 88 households in from the AG jurisdiction (Vic component) were excluded due to incomplete data.</w:t>
            </w:r>
          </w:p>
          <w:p>
            <w:pPr>
              <w:spacing w:after="160"/>
            </w:pPr>
            <w:r>
              <w:rPr>
                <w:rStyle w:val="row-content-rich-text"/>
                <w:u w:val="single"/>
              </w:rPr>
              <w:t xml:space="preserve">Public housing</w:t>
            </w:r>
            <w:r>
              <w:rPr>
                <w:rStyle w:val="row-content-rich-text"/>
              </w:rPr>
              <w:t xml:space="preserve">:</w:t>
            </w:r>
            <w:r>
              <w:br/>
            </w:r>
            <w:r>
              <w:rPr>
                <w:rStyle w:val="row-content-rich-text"/>
              </w:rPr>
              <w:t xml:space="preserve">Vic: denominator (total number of Indigenous households) excludes 170 Indigenous PH households that pay market rent.</w:t>
            </w:r>
            <w:r>
              <w:br/>
            </w:r>
            <w:r>
              <w:rPr>
                <w:rStyle w:val="row-content-rich-text"/>
                <w:u w:val="single"/>
              </w:rPr>
              <w:t xml:space="preserve"> </w:t>
            </w:r>
          </w:p>
          <w:p>
            <w:pPr>
              <w:spacing w:after="160"/>
            </w:pPr>
            <w:r>
              <w:rPr>
                <w:rStyle w:val="row-content-rich-text"/>
                <w:u w:val="single"/>
              </w:rPr>
              <w:t xml:space="preserve">SOMIH</w:t>
            </w:r>
            <w:r>
              <w:rPr>
                <w:rStyle w:val="row-content-rich-text"/>
                <w:u w:val="single"/>
              </w:rPr>
              <w:t xml:space="preserve">:</w:t>
            </w:r>
            <w:r>
              <w:br/>
            </w:r>
            <w:r>
              <w:rPr>
                <w:rStyle w:val="row-content-rich-text"/>
                <w:u w:val="single"/>
              </w:rPr>
              <w:t xml:space="preserve">Vic: denominator (total number of households) excludes 186 households that pay market rent.</w:t>
            </w:r>
          </w:p>
          <w:p>
            <w:pPr>
              <w:spacing w:after="160"/>
            </w:pPr>
            <w:r>
              <w:rPr>
                <w:rStyle w:val="row-content-rich-text"/>
                <w:u w:val="single"/>
              </w:rPr>
              <w:t xml:space="preserve">Indigenous community housing</w:t>
            </w:r>
            <w:r>
              <w:rPr>
                <w:rStyle w:val="row-content-rich-text"/>
                <w:u w:val="single"/>
              </w:rPr>
              <w:t xml:space="preserve">:</w:t>
            </w:r>
            <w:r>
              <w:br/>
            </w:r>
            <w:r>
              <w:rPr>
                <w:rStyle w:val="row-content-rich-text"/>
                <w:u w:val="single"/>
              </w:rPr>
              <w:t xml:space="preserve">ICH data reported for NSW and the Australian Government are affected by non-response and should be interpreted with caution (as it cannot be guaranteed that the non-responding portion of the sector has the same characteristics as the responding portion):</w:t>
            </w:r>
          </w:p>
          <w:p>
            <w:pPr>
              <w:spacing w:after="160"/>
            </w:pPr>
            <w:r>
              <w:rPr>
                <w:rStyle w:val="row-content-rich-text"/>
                <w:u w:val="single"/>
              </w:rPr>
              <w:t xml:space="preserve">NSW: household details are known only for actively registered organisations, covering 2510 out of the 4461 permanent ICH dwellings in NSW. The data for NSW has been corrected for non-response by extrapolating the numerator to all the dwellings in the NSW Aboriginal community sector, and estimating the denominator (total number of households) based on the known total number of dwellings and assuming one household per dwelling.</w:t>
            </w:r>
          </w:p>
          <w:p>
            <w:pPr>
              <w:spacing w:after="160"/>
            </w:pPr>
            <w:r>
              <w:rPr>
                <w:rStyle w:val="row-content-rich-text"/>
                <w:u w:val="single"/>
              </w:rPr>
              <w:t xml:space="preserve">AG: household details are known for 629 of the 2781 permanent ICH dwellings under the Australian Government jurisdiction. No corrections for non-response have been made to the AG data - the numerator, denominator, and proportion are reported only for the portion of the jurisdiction for which household details are known.</w:t>
            </w:r>
          </w:p>
          <w:p>
            <w:pPr/>
            <w:r>
              <w:rPr>
                <w:rStyle w:val="row-content-rich-text"/>
                <w:u w:val="single"/>
              </w:rPr>
              <w:t xml:space="preserve">Data reported conforms to CNOS standard with the following exceptions:</w:t>
            </w:r>
            <w:r>
              <w:br/>
            </w:r>
            <w:r>
              <w:rPr>
                <w:rStyle w:val="row-content-rich-text"/>
                <w:u w:val="single"/>
              </w:rPr>
              <w:t xml:space="preserve">Qld - numerator based on public housing bedroom entitlement (similar to Canadian occupancy standard); ACT and AG, Tas component - numerator estimated based on number of known occupants in the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For PH and SOMIH, Vic excludes non-rebated households. Comparisons between jurisdictions’ data should be made with caution.</w:t>
            </w:r>
            <w:r>
              <w:br/>
            </w:r>
            <w:r>
              <w:rPr>
                <w:rStyle w:val="row-content-rich-text"/>
              </w:rPr>
              <w:t xml:space="preserve">For ICH, comparisons between jurisdictions’ data should be made with caution, particularly for jurisdictions with non-response and for Tas and Qld which do not conform to the CNOS standard (see discussion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21/07/2010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c119a3059dd4f5e">
              <w:r>
                <w:rPr>
                  <w:rStyle w:val="Hyperlink"/>
                </w:rPr>
                <w:t xml:space="preserve">National Affordability Housing Agreement: g-Proportion of Indigenous households living in overcrowded conditions, 2010</w:t>
              </w:r>
            </w:hyperlink>
          </w:p>
          <w:p>
            <w:pPr>
              <w:spacing w:before="0" w:after="0"/>
            </w:pPr>
            <w:r>
              <w:rPr>
                <w:rStyle w:val="row-content"/>
                <w:color w:val="244061"/>
              </w:rPr>
              <w:t xml:space="preserve">       </w:t>
            </w:r>
            <w:hyperlink w:history="true" r:id="R88969635936f47d4">
              <w:r>
                <w:rPr>
                  <w:rStyle w:val="Hyperlink"/>
                  <w:color w:val="244061"/>
                </w:rPr>
                <w:t xml:space="preserve">Homelessness</w:t>
              </w:r>
            </w:hyperlink>
            <w:r>
              <w:rPr>
                <w:rStyle w:val="row-content"/>
                <w:color w:val="244061"/>
              </w:rPr>
              <w:t xml:space="preserve">, Standard 16/02/2011</w:t>
            </w:r>
          </w:p>
          <w:p>
            <w:pPr>
              <w:spacing w:before="0" w:after="0"/>
            </w:pPr>
            <w:r>
              <w:rPr>
                <w:rStyle w:val="row-content"/>
                <w:color w:val="244061"/>
              </w:rPr>
              <w:t xml:space="preserve">       </w:t>
            </w:r>
            <w:hyperlink w:history="true" r:id="R0a225a554e314b26">
              <w:r>
                <w:rPr>
                  <w:rStyle w:val="Hyperlink"/>
                  <w:color w:val="244061"/>
                </w:rPr>
                <w:t xml:space="preserve">Indigenous</w:t>
              </w:r>
            </w:hyperlink>
            <w:r>
              <w:rPr>
                <w:rStyle w:val="row-content"/>
                <w:color w:val="244061"/>
              </w:rPr>
              <w:t xml:space="preserve">, Standard 11/09/2012</w:t>
            </w:r>
          </w:p>
          <w:p>
            <w:r>
              <w:br/>
            </w:r>
          </w:p>
        </w:tc>
      </w:tr>
    </w:tbl>
    <w:p>
      <w:r>
        <w:br/>
      </w:r>
    </w:p>
    <w:sectPr>
      <w:footerReference xmlns:r="http://schemas.openxmlformats.org/officeDocument/2006/relationships" w:type="default" r:id="Rdc322a5ace944b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410511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a50e937d5c40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322a5ace944b95" /><Relationship Type="http://schemas.openxmlformats.org/officeDocument/2006/relationships/header" Target="/word/header1.xml" Id="Rc03ad2acda4b4bb8" /><Relationship Type="http://schemas.openxmlformats.org/officeDocument/2006/relationships/settings" Target="/word/settings.xml" Id="R6125d854ba6c4175" /><Relationship Type="http://schemas.openxmlformats.org/officeDocument/2006/relationships/styles" Target="/word/styles.xml" Id="R4e3581e08a5842d8" /><Relationship Type="http://schemas.openxmlformats.org/officeDocument/2006/relationships/hyperlink" Target="https://meteor.aihw.gov.au/RegistrationAuthority/14" TargetMode="External" Id="Rc215042d2309484d" /><Relationship Type="http://schemas.openxmlformats.org/officeDocument/2006/relationships/hyperlink" Target="https://meteor.aihw.gov.au/RegistrationAuthority/6" TargetMode="External" Id="R87042efacc11421e" /><Relationship Type="http://schemas.openxmlformats.org/officeDocument/2006/relationships/hyperlink" Target="http://meteor.aihw.gov.au" TargetMode="External" Id="Rf33a14c03dfe49ed" /><Relationship Type="http://schemas.openxmlformats.org/officeDocument/2006/relationships/hyperlink" Target="https://meteor.aihw.gov.au/content/410478" TargetMode="External" Id="Rec119a3059dd4f5e" /><Relationship Type="http://schemas.openxmlformats.org/officeDocument/2006/relationships/hyperlink" Target="https://meteor.aihw.gov.au/RegistrationAuthority/14" TargetMode="External" Id="R88969635936f47d4" /><Relationship Type="http://schemas.openxmlformats.org/officeDocument/2006/relationships/hyperlink" Target="https://meteor.aihw.gov.au/RegistrationAuthority/6" TargetMode="External" Id="R0a225a554e314b26" /></Relationships>
</file>

<file path=word/_rels/header1.xml.rels>&#65279;<?xml version="1.0" encoding="utf-8"?><Relationships xmlns="http://schemas.openxmlformats.org/package/2006/relationships"><Relationship Type="http://schemas.openxmlformats.org/officeDocument/2006/relationships/image" Target="/media/image.png" Id="R61a50e937d5c40d4" /></Relationships>
</file>