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8a497ef5e4aca" /></Relationships>
</file>

<file path=word/document.xml><?xml version="1.0" encoding="utf-8"?>
<w:document xmlns:r="http://schemas.openxmlformats.org/officeDocument/2006/relationships" xmlns:w="http://schemas.openxmlformats.org/wordprocessingml/2006/main">
  <w:body>
    <w:p>
      <w:pPr>
        <w:pStyle w:val="Title"/>
      </w:pPr>
      <w:r>
        <w:t>AIHW State Owned and Managed Indigenous Housing (SOMIH)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State Owned and Managed Indigenous Housing (SOMIH)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collection includes State owned and managed Indigenous housing tenancies covered under the Commonwealth state Housing agreement (for the period 1 July 2008 - 31 Dec 2008) and the National Affordable Housing Agreement (NAHA for the period 1 Jan 2009 - 30 Jun 2009).  The collection reports on all housing stock where ownership and management reside with the state government and allocation is specifically identified for Indigenous households only. This also includes stock managed by an Indigenous housing government agency for allocation to Indigenous tenants. Funding may be provided from state owned and managed Indigenous housing or general grants.</w:t>
            </w:r>
            <w:r>
              <w:br/>
            </w:r>
            <w:r>
              <w:rPr>
                <w:rStyle w:val="row-content-rich-text"/>
              </w:rPr>
              <w:t xml:space="preserve">This collection aims to exclude community-managed Indigenous housing where the tenancy manager function of assessing applicants and allocation and management of housing to eligible households is carried out by the community agency. However, due to the complexity of funding arrangements in the Indigenous housing sector, the potential exists in some jurisdictions for some community-managed dwellings (whether government or community owned) to be included in state owned and managed Indigenous housing reporting. Care should therefore be exercised in interpreting the results of this collection.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3f5aabfe728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faadd3bf6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5aabfe7284df5" /><Relationship Type="http://schemas.openxmlformats.org/officeDocument/2006/relationships/header" Target="/word/header1.xml" Id="Rd2f4e5f3fa8149d0" /><Relationship Type="http://schemas.openxmlformats.org/officeDocument/2006/relationships/settings" Target="/word/settings.xml" Id="R17ea495af0f24024" /><Relationship Type="http://schemas.openxmlformats.org/officeDocument/2006/relationships/styles" Target="/word/styles.xml" Id="Rb0dfed0022de45db" /></Relationships>
</file>

<file path=word/_rels/header1.xml.rels>&#65279;<?xml version="1.0" encoding="utf-8"?><Relationships xmlns="http://schemas.openxmlformats.org/package/2006/relationships"><Relationship Type="http://schemas.openxmlformats.org/officeDocument/2006/relationships/image" Target="/media/image.png" Id="Re6dfaadd3bf64b52" /></Relationships>
</file>