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1d58b006d4d63"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ba3f0eaf3407e">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9b4655839f9c49a1">
              <w:r>
                <w:rPr>
                  <w:rStyle w:val="Hyperlink"/>
                </w:rPr>
                <w:t xml:space="preserve">AIHW website.</w:t>
              </w:r>
              <w:r>
                <w:br/>
              </w:r>
              <w:r>
                <w:rPr>
                  <w:rStyle w:val="row-content-rich-text"/>
                </w:rPr>
                <w:t xml:space="preserve"> </w:t>
              </w:r>
            </w:hyperlink>
            <w:r>
              <w:rPr>
                <w:rStyle w:val="row-content-rich-text"/>
              </w:rPr>
              <w:t xml:space="preserve">For general issues relating to the CSTDA NMDS, refer to the CSTDA NMDS Data Quality Statement.</w:t>
            </w:r>
            <w:r>
              <w:br/>
            </w:r>
            <w:r>
              <w:rPr>
                <w:rStyle w:val="row-content-rich-text"/>
              </w:rPr>
              <w:t xml:space="preserve">For information on the institutional environment of the ABS, including the legislative obligations of the ABS, please see </w:t>
            </w:r>
          </w:p>
          <w:p>
            <w:hyperlink w:history="true" r:id="Rb71d9f3c3c5c4fbe">
              <w:r>
                <w:rPr>
                  <w:rStyle w:val="Hyperlink"/>
                </w:rPr>
                <w:t xml:space="preserve">ABS Institutional Environment.</w:t>
              </w:r>
              <w:r>
                <w:br/>
              </w:r>
              <w:r>
                <w:rPr>
                  <w:rStyle w:val="row-content-rich-text"/>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w:t>
            </w:r>
            <w:r>
              <w:br/>
            </w:r>
            <w:r>
              <w:rPr>
                <w:rStyle w:val="row-content-rich-text"/>
              </w:rPr>
              <w:t xml:space="preserve">ABS SDAC 2003; Census 2006; Indigenous projected population at 30 June 2007 (projected population is based on data from the 2006 Census).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CSTDA NMDS. Published products available on the AIHW website are:</w:t>
            </w:r>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Supporting information on the quality and use of the CSTDA NMDS are published annually in ‘Disability support services’ available in hard copy or on the AIHW website (&lt;</w:t>
            </w:r>
          </w:p>
          <w:p>
            <w:hyperlink w:history="true" r:id="Radc2bbd3c9924de0">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several different sources, each referencing different time periods, are used to produce performance indicator (f). Data used are from the CSTDA NMDS 2007–08, SDAC 2003, Indigenous Projected Population June 2007, and Census 2006. This may reduce the overall quality of the estimates. Some particular issues are listed in the Relevance section of the Data Quality Statement for performance indicator (c). Additionally,</w:t>
            </w:r>
            <w:r>
              <w:br/>
            </w:r>
            <w:r>
              <w:rPr>
                <w:rStyle w:val="row-content-rich-text"/>
              </w:rPr>
              <w:t xml:space="preserve">• Indigeneity was not collected in the SDAC 2003,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2003. Two particular points of note with regards to this assumption are:</w:t>
            </w:r>
            <w:r>
              <w:br/>
            </w:r>
            <w:r>
              <w:rPr>
                <w:rStyle w:val="row-content-rich-text"/>
              </w:rPr>
              <w:t xml:space="preserve">1. Information from Census 2006 about people with need for assistance with core activities is based on the self enumeration (interview in Indigenous communities)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2. ABS research indicates that the Indigenous identification rate differs between the Census and interviewer administered surveys.</w:t>
            </w:r>
            <w:r>
              <w:br/>
            </w:r>
            <w:r>
              <w:rPr>
                <w:rStyle w:val="row-content-rich-text"/>
              </w:rPr>
              <w:t xml:space="preserve">•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r>
              <w:br/>
            </w:r>
            <w:r>
              <w:rPr>
                <w:rStyle w:val="row-content-rich-text"/>
              </w:rPr>
              <w:t xml:space="preserve">The scope of services funded under the CSTDA varied across jurisdictions. Users of specialist psychiatric disability services in Victoria, Queensland and Western Australia are included in the NDA performance indicators. There were 558 Indigenous people aged 0–64 years in Victoria who used only specialist psychiatric disability services in 2007–08, 27 in Queensland and 6 in Western Australia. Other states and territories did not fund specialist psychiatric services under the CSTDA.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Indigenous status is not stated or not collected. The not stated/not collected rate varies across jurisdictions from a low rate of 0.1% for Australian Government agencies, to a high rate of 12.8% for Victorian agencies; the overall rate being 5.2%. See the accompanying appendix for further details. 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r>
              <w:br/>
            </w:r>
            <w:r>
              <w:rPr>
                <w:rStyle w:val="row-content-rich-text"/>
              </w:rPr>
              <w:t xml:space="preserve">For general issues relating to the CSTDA NMDS, refer to the CSTDA NMDS Data Quality Statement.</w:t>
            </w:r>
            <w:r>
              <w:br/>
            </w:r>
            <w:r>
              <w:rPr>
                <w:rStyle w:val="row-content-rich-text"/>
              </w:rPr>
              <w:t xml:space="preserve">Being a sample survey, estimates from the SDAC 2003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r>
              <w:br/>
            </w: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r>
              <w:br/>
            </w:r>
            <w:r>
              <w:rPr>
                <w:rStyle w:val="row-content-rich-text"/>
              </w:rPr>
              <w:t xml:space="preserve">Potential sources of error in 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 Estimates of the Indigenous net undercount for all jurisdictions are included below.</w:t>
            </w:r>
            <w:r>
              <w:br/>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Jurisdiction</w:t>
                  </w:r>
                </w:p>
              </w:tc>
              <w:tc>
                <w:tcPr>
                  <w:tcW w:w="2750" w:type="pct"/>
                  <w:vAlign w:val="top"/>
                </w:tcPr>
                <w:p>
                  <w:r>
                    <w:t xml:space="preserve">Undercount rate %</w:t>
                  </w:r>
                </w:p>
              </w:tc>
            </w:tr>
            <w:tr>
              <w:trPr/>
              <w:tc>
                <w:tcPr>
                  <w:tcW w:w="2200" w:type="pct"/>
                  <w:vAlign w:val="top"/>
                </w:tcPr>
                <w:p>
                  <w:r>
                    <w:t xml:space="preserve">NSW</w:t>
                  </w:r>
                </w:p>
              </w:tc>
              <w:tc>
                <w:tcPr>
                  <w:tcW w:w="2750" w:type="pct"/>
                  <w:vAlign w:val="top"/>
                </w:tcPr>
                <w:p>
                  <w:r>
                    <w:t xml:space="preserve">8.6</w:t>
                  </w:r>
                </w:p>
              </w:tc>
            </w:tr>
            <w:tr>
              <w:trPr/>
              <w:tc>
                <w:tcPr>
                  <w:tcW w:w="2200" w:type="pct"/>
                  <w:vAlign w:val="top"/>
                </w:tcPr>
                <w:p>
                  <w:r>
                    <w:t xml:space="preserve">Vic</w:t>
                  </w:r>
                </w:p>
              </w:tc>
              <w:tc>
                <w:tcPr>
                  <w:tcW w:w="2750" w:type="pct"/>
                  <w:vAlign w:val="top"/>
                </w:tcPr>
                <w:p>
                  <w:r>
                    <w:t xml:space="preserve">9.4</w:t>
                  </w:r>
                </w:p>
              </w:tc>
            </w:tr>
            <w:tr>
              <w:trPr/>
              <w:tc>
                <w:tcPr>
                  <w:tcW w:w="2200" w:type="pct"/>
                  <w:vAlign w:val="top"/>
                </w:tcPr>
                <w:p>
                  <w:r>
                    <w:t xml:space="preserve">Qld</w:t>
                  </w:r>
                </w:p>
              </w:tc>
              <w:tc>
                <w:tcPr>
                  <w:tcW w:w="2750" w:type="pct"/>
                  <w:vAlign w:val="top"/>
                </w:tcPr>
                <w:p>
                  <w:r>
                    <w:t xml:space="preserve">11.6</w:t>
                  </w:r>
                </w:p>
              </w:tc>
            </w:tr>
            <w:tr>
              <w:trPr/>
              <w:tc>
                <w:tcPr>
                  <w:tcW w:w="2200" w:type="pct"/>
                  <w:vAlign w:val="top"/>
                </w:tcPr>
                <w:p>
                  <w:r>
                    <w:t xml:space="preserve">WA</w:t>
                  </w:r>
                </w:p>
              </w:tc>
              <w:tc>
                <w:tcPr>
                  <w:tcW w:w="2750" w:type="pct"/>
                  <w:vAlign w:val="top"/>
                </w:tcPr>
                <w:p>
                  <w:r>
                    <w:t xml:space="preserve">16.6</w:t>
                  </w:r>
                </w:p>
              </w:tc>
            </w:tr>
            <w:tr>
              <w:trPr/>
              <w:tc>
                <w:tcPr>
                  <w:tcW w:w="2200" w:type="pct"/>
                  <w:vAlign w:val="top"/>
                </w:tcPr>
                <w:p>
                  <w:r>
                    <w:t xml:space="preserve">SA</w:t>
                  </w:r>
                </w:p>
              </w:tc>
              <w:tc>
                <w:tcPr>
                  <w:tcW w:w="2750" w:type="pct"/>
                  <w:vAlign w:val="top"/>
                </w:tcPr>
                <w:p>
                  <w:r>
                    <w:t xml:space="preserve">8.6</w:t>
                  </w:r>
                </w:p>
              </w:tc>
            </w:tr>
            <w:tr>
              <w:trPr/>
              <w:tc>
                <w:tcPr>
                  <w:tcW w:w="2200" w:type="pct"/>
                  <w:vAlign w:val="top"/>
                </w:tcPr>
                <w:p>
                  <w:r>
                    <w:t xml:space="preserve">Tas.</w:t>
                  </w:r>
                </w:p>
              </w:tc>
              <w:tc>
                <w:tcPr>
                  <w:tcW w:w="2750" w:type="pct"/>
                  <w:vAlign w:val="top"/>
                </w:tcPr>
                <w:p>
                  <w:r>
                    <w:t xml:space="preserve">8.8</w:t>
                  </w:r>
                </w:p>
              </w:tc>
            </w:tr>
            <w:tr>
              <w:trPr/>
              <w:tc>
                <w:tcPr>
                  <w:tcW w:w="2200" w:type="pct"/>
                  <w:vAlign w:val="top"/>
                </w:tcPr>
                <w:p>
                  <w:r>
                    <w:t xml:space="preserve">ACT</w:t>
                  </w:r>
                </w:p>
              </w:tc>
              <w:tc>
                <w:tcPr>
                  <w:tcW w:w="2750" w:type="pct"/>
                  <w:vAlign w:val="top"/>
                </w:tcPr>
                <w:p>
                  <w:r>
                    <w:t xml:space="preserve">8.8</w:t>
                  </w:r>
                </w:p>
              </w:tc>
            </w:tr>
            <w:tr>
              <w:trPr/>
              <w:tc>
                <w:tcPr>
                  <w:tcW w:w="2200" w:type="pct"/>
                  <w:vAlign w:val="top"/>
                </w:tcPr>
                <w:p>
                  <w:r>
                    <w:t xml:space="preserve">NT</w:t>
                  </w:r>
                </w:p>
              </w:tc>
              <w:tc>
                <w:tcPr>
                  <w:tcW w:w="2750" w:type="pct"/>
                  <w:vAlign w:val="top"/>
                </w:tcPr>
                <w:p>
                  <w:r>
                    <w:t xml:space="preserve">16.0</w:t>
                  </w:r>
                </w:p>
              </w:tc>
            </w:tr>
          </w:tbl>
          <w:p>
            <w:r>
              <w:t xml:space="preserve">Source: ABS Cat no. 3238.0.55.001</w:t>
            </w:r>
            <w:r>
              <w:br/>
            </w:r>
            <w:r>
              <w:t xml:space="preserve">Quality statements about Census 2006 data items can be found on the ABS website.</w:t>
            </w:r>
            <w:r>
              <w:br/>
            </w:r>
            <w:r>
              <w:t xml:space="preserve">For general issues relating to the SDAC, Census and Indigenous Projected Population, refer to ABS data quality statements, forthcoming.</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general issues relating to the CSTDA NMDS, refer to the CSTDA NMDS Data Quality Statement.</w:t>
            </w:r>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disability services is reported to be 154.6%. A combination of data quality issues, as discussed in this and previous sections, has led to this impossible figure.</w:t>
            </w:r>
            <w:r>
              <w:br/>
            </w:r>
            <w:r>
              <w:rPr>
                <w:rStyle w:val="row-content-rich-text"/>
              </w:rPr>
              <w:t xml:space="preserve">While the numerator is taken from the 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 The definition of potential population for specialist disability services is currently under review.</w:t>
            </w:r>
            <w:r>
              <w:br/>
            </w:r>
            <w:r>
              <w:rPr>
                <w:rStyle w:val="row-content-rich-text"/>
              </w:rPr>
              <w:t xml:space="preserve">The method used to calculate the Indigenous potential population estimates will be the same as that adopted by the Disability Services Working Group for calculation of special needs group indicators for the Report on Government Services 2010.</w:t>
            </w:r>
            <w:r>
              <w:br/>
            </w:r>
            <w:r>
              <w:rPr>
                <w:rStyle w:val="row-content-rich-text"/>
              </w:rPr>
              <w:t xml:space="preserve">For general issues relating to the SDAC, Census and Indigenous Projected Population, refer to ABS data quality statements, forthcoming.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1085bb27ef4e9b">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d38d197c0cb844f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36bfc88d5e463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027be628947418b">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8813c981a67f4c95">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b6ff123227fa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72c82232d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f123227fa4891" /><Relationship Type="http://schemas.openxmlformats.org/officeDocument/2006/relationships/header" Target="/word/header1.xml" Id="R321224b081db400d" /><Relationship Type="http://schemas.openxmlformats.org/officeDocument/2006/relationships/settings" Target="/word/settings.xml" Id="Rbac1dd49b4674f4e" /><Relationship Type="http://schemas.openxmlformats.org/officeDocument/2006/relationships/styles" Target="/word/styles.xml" Id="R79df6a9686b44c4a" /><Relationship Type="http://schemas.openxmlformats.org/officeDocument/2006/relationships/hyperlink" Target="https://meteor.aihw.gov.au/RegistrationAuthority/1" TargetMode="External" Id="Rf61ba3f0eaf3407e" /><Relationship Type="http://schemas.openxmlformats.org/officeDocument/2006/relationships/hyperlink" Target="http://www.aihw.gov.au/aboutus/index.cfm" TargetMode="External" Id="R9b4655839f9c49a1" /><Relationship Type="http://schemas.openxmlformats.org/officeDocument/2006/relationships/hyperlink" Target="http://www.abs.gov.au/Websitedbs/d3310114.nsf/4a256353001af3ed4b2562bb00121564/10ca14cb967e5b83ca2573ae00197b65!OpenDocument" TargetMode="External" Id="Rb71d9f3c3c5c4fbe" /><Relationship Type="http://schemas.openxmlformats.org/officeDocument/2006/relationships/hyperlink" Target="http://www.aihw.gov.au" TargetMode="External" Id="Radc2bbd3c9924de0" /><Relationship Type="http://schemas.openxmlformats.org/officeDocument/2006/relationships/hyperlink" Target="https://meteor.aihw.gov.au/content/561598" TargetMode="External" Id="R2e1085bb27ef4e9b" /><Relationship Type="http://schemas.openxmlformats.org/officeDocument/2006/relationships/hyperlink" Target="https://meteor.aihw.gov.au/RegistrationAuthority/1" TargetMode="External" Id="Rd38d197c0cb844f1" /><Relationship Type="http://schemas.openxmlformats.org/officeDocument/2006/relationships/hyperlink" Target="https://meteor.aihw.gov.au/RegistrationAuthority/16" TargetMode="External" Id="Rd836bfc88d5e463c" /><Relationship Type="http://schemas.openxmlformats.org/officeDocument/2006/relationships/hyperlink" Target="https://meteor.aihw.gov.au/content/393990" TargetMode="External" Id="R1027be628947418b" /><Relationship Type="http://schemas.openxmlformats.org/officeDocument/2006/relationships/hyperlink" Target="https://meteor.aihw.gov.au/RegistrationAuthority/1" TargetMode="External" Id="R8813c981a67f4c95" /></Relationships>
</file>

<file path=word/_rels/header1.xml.rels>&#65279;<?xml version="1.0" encoding="utf-8"?><Relationships xmlns="http://schemas.openxmlformats.org/package/2006/relationships"><Relationship Type="http://schemas.openxmlformats.org/officeDocument/2006/relationships/image" Target="/media/image.png" Id="Rbe872c82232d4c51" /></Relationships>
</file>