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a8045ea2c45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(National Aboriginal and Torres Strait Islander Health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649ef5b23428a">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survey is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Health Survey (NATSIHS) is conducted every 6 years. The 2004–05 survey was conducted between August 2004 and July 2005 and results were released in April 2006.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(4715.0).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a national survey that collects information on health status, risk factors and health-related actions. In the NATSIHS, respondents were asked if they had ever received an</w:t>
            </w:r>
            <w:r>
              <w:br/>
            </w:r>
            <w:r>
              <w:rPr>
                <w:rStyle w:val="row-content-rich-text"/>
              </w:rPr>
              <w:t xml:space="preserve">injection against influenza and against pneumococcus. This indicator was based on persons who had been immunised for influenza in the previous 12 months and for pneumococcal disease within the last five years.</w:t>
            </w:r>
          </w:p>
          <w:p>
            <w:pPr/>
            <w:r>
              <w:rPr>
                <w:rStyle w:val="row-content-rich-text"/>
              </w:rPr>
              <w:t xml:space="preserve">Data on adult immunisation in the NATSIHS is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spacing w:after="160"/>
            </w:pPr>
            <w:r>
              <w:rPr>
                <w:rStyle w:val="row-content-rich-text"/>
              </w:rPr>
              <w:t xml:space="preserve">Overall, this indicator has an RSE of less than 25% for all states and territories except for the ACT, which has an RSE of greater than 50% and is considered too unreliable for general use. Finer levels of disaggregation (for example, by the inclusion of other cross classifying variables)</w:t>
            </w:r>
          </w:p>
          <w:p>
            <w:pPr/>
            <w:r>
              <w:rPr>
                <w:rStyle w:val="row-content-rich-text"/>
              </w:rPr>
              <w:t xml:space="preserve">would result in higher levels of sampling error. The data could not support disaggregation by SEIFA and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w:t>
            </w:r>
            <w:r>
              <w:br/>
            </w:r>
            <w:r>
              <w:rPr>
                <w:rStyle w:val="row-content-rich-text"/>
              </w:rPr>
              <w:t xml:space="preserve">appear in the collections, and differences in the way Indigenous status is collected and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87701c6c6d4635">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d7480bb6a5e3446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a0ca2cc69194f95">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b83bfe8ecf504ad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617a70c97084447">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da5d8c0eae2a4b1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f3bfe880580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4ae81389448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bfe8805804dbe" /><Relationship Type="http://schemas.openxmlformats.org/officeDocument/2006/relationships/header" Target="/word/header1.xml" Id="R7c0a0c8dfafc45d9" /><Relationship Type="http://schemas.openxmlformats.org/officeDocument/2006/relationships/settings" Target="/word/settings.xml" Id="Rc0fe4deadcd4494c" /><Relationship Type="http://schemas.openxmlformats.org/officeDocument/2006/relationships/styles" Target="/word/styles.xml" Id="R5003a591b7ea4656" /><Relationship Type="http://schemas.openxmlformats.org/officeDocument/2006/relationships/hyperlink" Target="https://meteor.aihw.gov.au/RegistrationAuthority/12" TargetMode="External" Id="R21c649ef5b23428a" /><Relationship Type="http://schemas.openxmlformats.org/officeDocument/2006/relationships/hyperlink" Target="https://meteor.aihw.gov.au/content/393114" TargetMode="External" Id="R1087701c6c6d4635" /><Relationship Type="http://schemas.openxmlformats.org/officeDocument/2006/relationships/hyperlink" Target="https://meteor.aihw.gov.au/RegistrationAuthority/12" TargetMode="External" Id="Rd7480bb6a5e3446c" /><Relationship Type="http://schemas.openxmlformats.org/officeDocument/2006/relationships/hyperlink" Target="https://meteor.aihw.gov.au/content/392607" TargetMode="External" Id="R3a0ca2cc69194f95" /><Relationship Type="http://schemas.openxmlformats.org/officeDocument/2006/relationships/hyperlink" Target="https://meteor.aihw.gov.au/RegistrationAuthority/12" TargetMode="External" Id="Rb83bfe8ecf504ad7" /><Relationship Type="http://schemas.openxmlformats.org/officeDocument/2006/relationships/hyperlink" Target="https://meteor.aihw.gov.au/content/394250" TargetMode="External" Id="Rd617a70c97084447" /><Relationship Type="http://schemas.openxmlformats.org/officeDocument/2006/relationships/hyperlink" Target="https://meteor.aihw.gov.au/RegistrationAuthority/12" TargetMode="External" Id="Rda5d8c0eae2a4b1d" /></Relationships>
</file>

<file path=word/_rels/header1.xml.rels>&#65279;<?xml version="1.0" encoding="utf-8"?><Relationships xmlns="http://schemas.openxmlformats.org/package/2006/relationships"><Relationship Type="http://schemas.openxmlformats.org/officeDocument/2006/relationships/image" Target="/media/image.png" Id="R26b4ae8138944859" /></Relationships>
</file>