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b925d732394f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f0742e649408e">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direct measure available relating to access to services, so data for this indicator relates to use of services as reported by the respondent. The NHS and NATSIHS 2004-05 collected information about a selected range of health related actions persons had taken for their health in a given reference period. The actions of relevance to this indicator are:</w:t>
            </w:r>
          </w:p>
          <w:p>
            <w:pPr>
              <w:spacing w:after="160"/>
            </w:pPr>
            <w:r>
              <w:rPr>
                <w:rStyle w:val="row-content-rich-text"/>
              </w:rPr>
              <w:t xml:space="preserve"> </w:t>
            </w:r>
          </w:p>
          <w:p>
            <w:pPr>
              <w:pStyle w:val="ListParagraph"/>
              <w:numPr>
                <w:ilvl w:val="0"/>
                <w:numId w:val="2"/>
              </w:numPr>
            </w:pPr>
            <w:r>
              <w:rPr>
                <w:rStyle w:val="row-content-rich-text"/>
              </w:rPr>
              <w:t xml:space="preserve">Admitted to hospital as an inpatient</w:t>
            </w:r>
          </w:p>
          <w:p>
            <w:pPr>
              <w:pStyle w:val="ListParagraph"/>
              <w:numPr>
                <w:ilvl w:val="0"/>
                <w:numId w:val="2"/>
              </w:numPr>
            </w:pPr>
            <w:r>
              <w:rPr>
                <w:rStyle w:val="row-content-rich-text"/>
              </w:rPr>
              <w:t xml:space="preserve">Visits to casualty, emergency, outpatient unit</w:t>
            </w:r>
          </w:p>
          <w:p>
            <w:pPr>
              <w:pStyle w:val="ListParagraph"/>
              <w:numPr>
                <w:ilvl w:val="0"/>
                <w:numId w:val="2"/>
              </w:numPr>
            </w:pPr>
            <w:r>
              <w:rPr>
                <w:rStyle w:val="row-content-rich-text"/>
              </w:rPr>
              <w:t xml:space="preserve">Visits to day clinics</w:t>
            </w:r>
          </w:p>
          <w:p>
            <w:pPr>
              <w:pStyle w:val="ListParagraph"/>
              <w:numPr>
                <w:ilvl w:val="0"/>
                <w:numId w:val="2"/>
              </w:numPr>
            </w:pPr>
            <w:r>
              <w:rPr>
                <w:rStyle w:val="row-content-rich-text"/>
              </w:rPr>
              <w:t xml:space="preserve">Doctor consultations (GP or specialists)</w:t>
            </w:r>
          </w:p>
          <w:p>
            <w:pPr>
              <w:pStyle w:val="ListParagraph"/>
              <w:numPr>
                <w:ilvl w:val="0"/>
                <w:numId w:val="2"/>
              </w:numPr>
            </w:pPr>
            <w:r>
              <w:rPr>
                <w:rStyle w:val="row-content-rich-text"/>
              </w:rPr>
              <w:t xml:space="preserve">Dental consultations</w:t>
            </w:r>
          </w:p>
          <w:p>
            <w:pPr>
              <w:pStyle w:val="ListParagraph"/>
              <w:numPr>
                <w:ilvl w:val="0"/>
                <w:numId w:val="2"/>
              </w:numPr>
            </w:pPr>
            <w:r>
              <w:rPr>
                <w:rStyle w:val="row-content-rich-text"/>
              </w:rPr>
              <w:t xml:space="preserve">Consultations with other health professional(s)</w:t>
            </w:r>
          </w:p>
          <w:p>
            <w:pPr>
              <w:pStyle w:val="ListParagraph"/>
              <w:numPr>
                <w:ilvl w:val="0"/>
                <w:numId w:val="2"/>
              </w:numPr>
            </w:pPr>
            <w:r>
              <w:rPr>
                <w:rStyle w:val="row-content-rich-text"/>
              </w:rPr>
              <w:t xml:space="preserve">The consultation with other health professional topic refers to visits to one or more of a list of nominated health professionals as follows:</w:t>
            </w:r>
          </w:p>
          <w:p>
            <w:pPr>
              <w:pStyle w:val="ListParagraph"/>
              <w:numPr>
                <w:ilvl w:val="0"/>
                <w:numId w:val="2"/>
              </w:numPr>
            </w:pPr>
            <w:r>
              <w:rPr>
                <w:rStyle w:val="row-content-rich-text"/>
              </w:rPr>
              <w:t xml:space="preserve">Aboriginal health worker</w:t>
            </w:r>
          </w:p>
          <w:p>
            <w:pPr>
              <w:pStyle w:val="ListParagraph"/>
              <w:numPr>
                <w:ilvl w:val="0"/>
                <w:numId w:val="2"/>
              </w:numPr>
            </w:pPr>
            <w:r>
              <w:rPr>
                <w:rStyle w:val="row-content-rich-text"/>
              </w:rPr>
              <w:t xml:space="preserve">Accredited counsellor</w:t>
            </w:r>
          </w:p>
          <w:p>
            <w:pPr>
              <w:pStyle w:val="ListParagraph"/>
              <w:numPr>
                <w:ilvl w:val="0"/>
                <w:numId w:val="2"/>
              </w:numPr>
            </w:pPr>
            <w:r>
              <w:rPr>
                <w:rStyle w:val="row-content-rich-text"/>
              </w:rPr>
              <w:t xml:space="preserve">Acupuncturist</w:t>
            </w:r>
          </w:p>
          <w:p>
            <w:pPr>
              <w:pStyle w:val="ListParagraph"/>
              <w:numPr>
                <w:ilvl w:val="0"/>
                <w:numId w:val="2"/>
              </w:numPr>
            </w:pPr>
            <w:r>
              <w:rPr>
                <w:rStyle w:val="row-content-rich-text"/>
              </w:rPr>
              <w:t xml:space="preserve">Alcohol and drug worker</w:t>
            </w:r>
          </w:p>
          <w:p>
            <w:pPr>
              <w:pStyle w:val="ListParagraph"/>
              <w:numPr>
                <w:ilvl w:val="0"/>
                <w:numId w:val="2"/>
              </w:numPr>
            </w:pPr>
            <w:r>
              <w:rPr>
                <w:rStyle w:val="row-content-rich-text"/>
              </w:rPr>
              <w:t xml:space="preserve">Audiologist/audiometrist</w:t>
            </w:r>
          </w:p>
          <w:p>
            <w:pPr>
              <w:pStyle w:val="ListParagraph"/>
              <w:numPr>
                <w:ilvl w:val="0"/>
                <w:numId w:val="2"/>
              </w:numPr>
            </w:pPr>
            <w:r>
              <w:rPr>
                <w:rStyle w:val="row-content-rich-text"/>
              </w:rPr>
              <w:t xml:space="preserve">Chiropractor</w:t>
            </w:r>
          </w:p>
          <w:p>
            <w:pPr>
              <w:pStyle w:val="ListParagraph"/>
              <w:numPr>
                <w:ilvl w:val="0"/>
                <w:numId w:val="2"/>
              </w:numPr>
            </w:pPr>
            <w:r>
              <w:rPr>
                <w:rStyle w:val="row-content-rich-text"/>
              </w:rPr>
              <w:t xml:space="preserve">Chemist (for advice only)</w:t>
            </w:r>
          </w:p>
          <w:p>
            <w:pPr>
              <w:pStyle w:val="ListParagraph"/>
              <w:numPr>
                <w:ilvl w:val="0"/>
                <w:numId w:val="2"/>
              </w:numPr>
            </w:pPr>
            <w:r>
              <w:rPr>
                <w:rStyle w:val="row-content-rich-text"/>
              </w:rPr>
              <w:t xml:space="preserve">Chiropodist/podiatrist</w:t>
            </w:r>
          </w:p>
          <w:p>
            <w:pPr>
              <w:pStyle w:val="ListParagraph"/>
              <w:numPr>
                <w:ilvl w:val="0"/>
                <w:numId w:val="2"/>
              </w:numPr>
            </w:pPr>
            <w:r>
              <w:rPr>
                <w:rStyle w:val="row-content-rich-text"/>
              </w:rPr>
              <w:t xml:space="preserve">Dietician/nutritionist</w:t>
            </w:r>
          </w:p>
          <w:p>
            <w:pPr>
              <w:pStyle w:val="ListParagraph"/>
              <w:numPr>
                <w:ilvl w:val="0"/>
                <w:numId w:val="2"/>
              </w:numPr>
            </w:pPr>
            <w:r>
              <w:rPr>
                <w:rStyle w:val="row-content-rich-text"/>
              </w:rPr>
              <w:t xml:space="preserve">Herbalist</w:t>
            </w:r>
          </w:p>
          <w:p>
            <w:pPr>
              <w:pStyle w:val="ListParagraph"/>
              <w:numPr>
                <w:ilvl w:val="0"/>
                <w:numId w:val="2"/>
              </w:numPr>
            </w:pPr>
            <w:r>
              <w:rPr>
                <w:rStyle w:val="row-content-rich-text"/>
              </w:rPr>
              <w:t xml:space="preserve">Hypnotherapist</w:t>
            </w:r>
          </w:p>
          <w:p>
            <w:pPr>
              <w:pStyle w:val="ListParagraph"/>
              <w:numPr>
                <w:ilvl w:val="0"/>
                <w:numId w:val="2"/>
              </w:numPr>
            </w:pPr>
            <w:r>
              <w:rPr>
                <w:rStyle w:val="row-content-rich-text"/>
              </w:rPr>
              <w:t xml:space="preserve">Naturopath</w:t>
            </w:r>
          </w:p>
          <w:p>
            <w:pPr>
              <w:pStyle w:val="ListParagraph"/>
              <w:numPr>
                <w:ilvl w:val="0"/>
                <w:numId w:val="2"/>
              </w:numPr>
            </w:pPr>
            <w:r>
              <w:rPr>
                <w:rStyle w:val="row-content-rich-text"/>
              </w:rPr>
              <w:t xml:space="preserve">Nurse</w:t>
            </w:r>
          </w:p>
          <w:p>
            <w:pPr>
              <w:pStyle w:val="ListParagraph"/>
              <w:numPr>
                <w:ilvl w:val="0"/>
                <w:numId w:val="2"/>
              </w:numPr>
            </w:pPr>
            <w:r>
              <w:rPr>
                <w:rStyle w:val="row-content-rich-text"/>
              </w:rPr>
              <w:t xml:space="preserve">Optician/optometrist</w:t>
            </w:r>
          </w:p>
          <w:p>
            <w:pPr>
              <w:pStyle w:val="ListParagraph"/>
              <w:numPr>
                <w:ilvl w:val="0"/>
                <w:numId w:val="2"/>
              </w:numPr>
            </w:pPr>
            <w:r>
              <w:rPr>
                <w:rStyle w:val="row-content-rich-text"/>
              </w:rPr>
              <w:t xml:space="preserve">Osteopath</w:t>
            </w:r>
          </w:p>
          <w:p>
            <w:pPr>
              <w:pStyle w:val="ListParagraph"/>
              <w:numPr>
                <w:ilvl w:val="0"/>
                <w:numId w:val="2"/>
              </w:numPr>
            </w:pPr>
            <w:r>
              <w:rPr>
                <w:rStyle w:val="row-content-rich-text"/>
              </w:rPr>
              <w:t xml:space="preserve">Occupational therapist</w:t>
            </w:r>
          </w:p>
          <w:p>
            <w:pPr>
              <w:pStyle w:val="ListParagraph"/>
              <w:numPr>
                <w:ilvl w:val="0"/>
                <w:numId w:val="2"/>
              </w:numPr>
            </w:pPr>
            <w:r>
              <w:rPr>
                <w:rStyle w:val="row-content-rich-text"/>
              </w:rPr>
              <w:t xml:space="preserve">Physiotherapist/hydrotherapist</w:t>
            </w:r>
          </w:p>
          <w:p>
            <w:pPr>
              <w:pStyle w:val="ListParagraph"/>
              <w:numPr>
                <w:ilvl w:val="0"/>
                <w:numId w:val="2"/>
              </w:numPr>
            </w:pPr>
            <w:r>
              <w:rPr>
                <w:rStyle w:val="row-content-rich-text"/>
              </w:rPr>
              <w:t xml:space="preserve">Psychologist</w:t>
            </w:r>
          </w:p>
          <w:p>
            <w:pPr>
              <w:pStyle w:val="ListParagraph"/>
              <w:numPr>
                <w:ilvl w:val="0"/>
                <w:numId w:val="2"/>
              </w:numPr>
            </w:pPr>
            <w:r>
              <w:rPr>
                <w:rStyle w:val="row-content-rich-text"/>
              </w:rPr>
              <w:t xml:space="preserve">Social worker/welfare officer</w:t>
            </w:r>
          </w:p>
          <w:p>
            <w:pPr>
              <w:pStyle w:val="ListParagraph"/>
              <w:numPr>
                <w:ilvl w:val="0"/>
                <w:numId w:val="2"/>
              </w:numPr>
            </w:pPr>
            <w:r>
              <w:rPr>
                <w:rStyle w:val="row-content-rich-text"/>
              </w:rPr>
              <w:t xml:space="preserve">Speech therapist/pathologist </w:t>
            </w:r>
          </w:p>
          <w:p>
            <w:pPr>
              <w:spacing w:after="160"/>
            </w:pPr>
            <w:r>
              <w:rPr>
                <w:rStyle w:val="row-content-rich-text"/>
              </w:rPr>
              <w:t xml:space="preserve">Except for admissions to hospital, which uses a 12 month reference period, the reference period for these actions is the 2 weeks prior to interview. These reference periods were chosen as an acceptable compromise between enabling respondents to accurately recall and report actions taken in the period and ensuring sufficient observations were recorded in the survey to support reliable results. Self-assessed health status is used as a proxy for need, as the NHS has no direct measure of need. Persons are asked 'In general, would you say your health is excellent, very good, good, fair, or poor?' Self-assessed health status is a subjective data item. Perceptions may be influenced by any number of factors, which may be unrelated to actual health or which may reflect transient rather than usual feelings or circumstances.</w:t>
            </w:r>
          </w:p>
          <w:p>
            <w:pPr>
              <w:spacing w:after="160"/>
            </w:pPr>
            <w:r>
              <w:rPr>
                <w:rStyle w:val="row-content-rich-text"/>
              </w:rPr>
              <w:t xml:space="preserve"> </w:t>
            </w:r>
          </w:p>
          <w:p>
            <w:pPr>
              <w:spacing w:after="160"/>
            </w:pPr>
            <w:r>
              <w:rPr>
                <w:rStyle w:val="row-content-rich-text"/>
              </w:rPr>
              <w:t xml:space="preserve">While analysis has shown a correlation between self-assessed health status and health status indicated by more objective measures (such as recent and/or long term illness), the assumption that self-assessed health status is a valid proxy measure of need for services is currently untested. Persons may consider their health to be generally good, but still have a need for health services in the previous two weeks. Similarly, others might have no need for services but report that their health is poor.</w:t>
            </w:r>
          </w:p>
          <w:p>
            <w:pPr>
              <w:spacing w:after="160"/>
            </w:pPr>
            <w:r>
              <w:rPr>
                <w:rStyle w:val="row-content-rich-text"/>
              </w:rPr>
              <w:t xml:space="preserve"> </w:t>
            </w:r>
          </w:p>
          <w:p>
            <w:pPr/>
            <w:r>
              <w:rPr>
                <w:rStyle w:val="row-content-rich-text"/>
              </w:rPr>
              <w:t xml:space="preserve">Information for persons aged 15-17 may have had their information reported on their behalf, usually by a parent (though possibly with the child’s assistance). In 2004-05, 34.9% of 15-17 year olds responded on their own behalf, the remainder by a proxy. Data for these persons is therefore not conceptually 'self-assessed' health as it is for the other age groups, and responses may have been different if they had responded for themselves.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Rates of people who have accessed health services by state/territory and type of service or Indigenous status have acceptable levels of sampling error for all states and territories except for NT, for which data should be used with caution. Some data for NT in these tables has RSEs greater than 50%. Data disaggregated by health status, remoteness and type of service used for all persons by state/territory also has acceptable levels of sampling error for all states and territories except for NT, and for remote data for all states, which should be used with caution. Data on casualty/outpatient/day clinic visits for remote respondents is considered too unreliable for general use.</w:t>
            </w:r>
          </w:p>
          <w:p>
            <w:pPr/>
            <w:r>
              <w:rPr>
                <w:rStyle w:val="row-content-rich-text"/>
              </w:rPr>
              <w:t xml:space="preserve">Data disaggregated by health status, index of disadvantage and type of service used for all persons by state/territory has acceptable levels of sampling error for all states, but not for ACT and NT. Much of the data on casualty/outpatient/day clinic and dental visits for States should be used with caution. Most data for ACT and NT in this table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use of services and selfassessed health status.</w:t>
            </w:r>
          </w:p>
          <w:p>
            <w:pPr/>
            <w:r>
              <w:rPr>
                <w:rStyle w:val="row-content-rich-text"/>
              </w:rPr>
              <w:t xml:space="preserve">Questions used in the 2007-08 NHS on health-related actions, however, are not comparable with those asked in the 2004-05 NHS, as both the questions and the collection periods differ.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b906b1eedcc4040">
              <w:r>
                <w:rPr>
                  <w:rStyle w:val="Hyperlink"/>
                </w:rPr>
                <w:t xml:space="preserve">National Healthcare Agreement: P60-Access to services by type of service compared to need, 2010</w:t>
              </w:r>
            </w:hyperlink>
          </w:p>
          <w:p>
            <w:pPr>
              <w:pStyle w:val="registration-status"/>
              <w:spacing w:before="0" w:after="0"/>
            </w:pPr>
            <w:hyperlink w:history="true" r:id="Rb8759449ebdf409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05ef1879d82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ecc27ba82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ef1879d8246ce" /><Relationship Type="http://schemas.openxmlformats.org/officeDocument/2006/relationships/header" Target="/word/header1.xml" Id="Rc1be20690bb24150" /><Relationship Type="http://schemas.openxmlformats.org/officeDocument/2006/relationships/settings" Target="/word/settings.xml" Id="Reb644292edb34077" /><Relationship Type="http://schemas.openxmlformats.org/officeDocument/2006/relationships/styles" Target="/word/styles.xml" Id="R343610c8b21c448b" /><Relationship Type="http://schemas.openxmlformats.org/officeDocument/2006/relationships/numbering" Target="/word/numbering.xml" Id="R44e91015e1924f90" /><Relationship Type="http://schemas.openxmlformats.org/officeDocument/2006/relationships/hyperlink" Target="https://meteor.aihw.gov.au/RegistrationAuthority/12" TargetMode="External" Id="R805f0742e649408e" /><Relationship Type="http://schemas.openxmlformats.org/officeDocument/2006/relationships/hyperlink" Target="https://meteor.aihw.gov.au/content/395101" TargetMode="External" Id="R4b906b1eedcc4040" /><Relationship Type="http://schemas.openxmlformats.org/officeDocument/2006/relationships/hyperlink" Target="https://meteor.aihw.gov.au/RegistrationAuthority/12" TargetMode="External" Id="Rb8759449ebdf4099" /></Relationships>
</file>

<file path=word/_rels/header1.xml.rels>&#65279;<?xml version="1.0" encoding="utf-8"?><Relationships xmlns="http://schemas.openxmlformats.org/package/2006/relationships"><Relationship Type="http://schemas.openxmlformats.org/officeDocument/2006/relationships/image" Target="/media/image.png" Id="R3c1ecc27ba8249f2" /></Relationships>
</file>