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5d37161d246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58ae7fb114e04">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w:t>
            </w:r>
          </w:p>
          <w:p>
            <w:pPr/>
            <w:r>
              <w:rPr>
                <w:rStyle w:val="row-content-rich-text"/>
              </w:rPr>
              <w:t xml:space="preserve">See the </w:t>
            </w:r>
            <w:r>
              <w:rPr>
                <w:rStyle w:val="row-content-rich-text"/>
                <w:i/>
              </w:rPr>
              <w:t xml:space="preserve">National Aboriginal and Torres Strait Islander Health Survey</w:t>
            </w:r>
            <w:r>
              <w:rPr>
                <w:rStyle w:val="row-content-rich-text"/>
              </w:rPr>
              <w:t xml:space="preserve"> (cat.no.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(per cent) x number of drinks (of that type) consumed x vessel size (in millilitres). </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spacing w:after="160"/>
            </w:pPr>
            <w:r>
              <w:rPr>
                <w:rStyle w:val="row-content-rich-text"/>
              </w:rPr>
              <w:t xml:space="preserve">According to average daily alcohol intake over the 7 days of the reference week, respondents were grouped into three categories of relative risk level. Risk levels are based on the 2001 National Health and Medical Research Council (NHMRC) risk levels for harm in the long term, and assume the level of alcohol consumption in the week recorded was typical. The average daily consumption of alcohol associated with the 2001 NHMRC risk levels is as follows:</w:t>
            </w:r>
          </w:p>
          <w:p>
            <w:pPr>
              <w:pStyle w:val="ListParagraph"/>
              <w:numPr>
                <w:ilvl w:val="0"/>
                <w:numId w:val="4"/>
              </w:numPr>
            </w:pPr>
            <w:r>
              <w:rPr>
                <w:rStyle w:val="row-content-rich-text"/>
              </w:rPr>
              <w:t xml:space="preserve">Low risk (males) less than or equal to 50 ml (4 standard drinks)</w:t>
            </w:r>
          </w:p>
          <w:p>
            <w:pPr>
              <w:pStyle w:val="ListParagraph"/>
              <w:numPr>
                <w:ilvl w:val="0"/>
                <w:numId w:val="4"/>
              </w:numPr>
            </w:pPr>
            <w:r>
              <w:rPr>
                <w:rStyle w:val="row-content-rich-text"/>
              </w:rPr>
              <w:t xml:space="preserve">Low risk (females) less than or equal to 25 ml (2 standard drinks)</w:t>
            </w:r>
          </w:p>
          <w:p>
            <w:pPr>
              <w:pStyle w:val="ListParagraph"/>
              <w:numPr>
                <w:ilvl w:val="0"/>
                <w:numId w:val="4"/>
              </w:numPr>
            </w:pPr>
            <w:r>
              <w:rPr>
                <w:rStyle w:val="row-content-rich-text"/>
              </w:rPr>
              <w:t xml:space="preserve">Risky (males) more than 50 ml – to 75 ml (6 standard drinks)</w:t>
            </w:r>
          </w:p>
          <w:p>
            <w:pPr>
              <w:pStyle w:val="ListParagraph"/>
              <w:numPr>
                <w:ilvl w:val="0"/>
                <w:numId w:val="4"/>
              </w:numPr>
            </w:pPr>
            <w:r>
              <w:rPr>
                <w:rStyle w:val="row-content-rich-text"/>
              </w:rPr>
              <w:t xml:space="preserve">Risky (females) more than 25 ml – to 50 ml (4 standard drinks</w:t>
            </w:r>
          </w:p>
          <w:p>
            <w:pPr>
              <w:pStyle w:val="ListParagraph"/>
              <w:numPr>
                <w:ilvl w:val="0"/>
                <w:numId w:val="4"/>
              </w:numPr>
            </w:pPr>
            <w:r>
              <w:rPr>
                <w:rStyle w:val="row-content-rich-text"/>
              </w:rPr>
              <w:t xml:space="preserve">High risk (males) more than 75 ml (6 standard drinks)</w:t>
            </w:r>
          </w:p>
          <w:p>
            <w:pPr>
              <w:pStyle w:val="ListParagraph"/>
              <w:numPr>
                <w:ilvl w:val="0"/>
                <w:numId w:val="4"/>
              </w:numPr>
            </w:pPr>
            <w:r>
              <w:rPr>
                <w:rStyle w:val="row-content-rich-text"/>
              </w:rPr>
              <w:t xml:space="preserve">High risk (females) more than 50 ml (4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NATSIHS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has acceptable levels of sampling error for state and territory estimates. Very few RSEs for alcohol risk rates for Remote areas are less than 25 per cent and data should be used with caution. The breakdown by SEIFA quintiles has sampling error within acceptable llimits, except for the highest quintile in the Northern Territory which should not be considered reliable. Alcohol risk rates by Indigenous status have acceptable levels of sampling error except again for the NT where data should be used with caution.</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alcohol risk level. For more detailed information see the </w:t>
            </w:r>
            <w:r>
              <w:rPr>
                <w:rStyle w:val="row-content-rich-text"/>
                <w:i/>
              </w:rPr>
              <w:t xml:space="preserve">National Health Survey User Guide</w:t>
            </w:r>
            <w:r>
              <w:rPr>
                <w:rStyle w:val="row-content-rich-text"/>
              </w:rPr>
              <w:t xml:space="preserve"> on the ABS website.</w:t>
            </w:r>
          </w:p>
          <w:p>
            <w:pPr>
              <w:spacing w:after="160"/>
            </w:pPr>
            <w:r>
              <w:rPr>
                <w:rStyle w:val="row-content-rich-text"/>
              </w:rPr>
              <w:t xml:space="preserve">The National Aboriginal and Torres Strait Islander Social Survey (NATSISS) also contains questions on alcohol consumption, but not those that allow long term risk level estimates to be derived. This data is collected every 6 years, with the most recent survey being conducted between August 2008 and April 2009. Results from the survey were published in 2010.</w:t>
            </w:r>
          </w:p>
          <w:p>
            <w:pPr>
              <w:spacing w:after="160"/>
            </w:pPr>
            <w:r>
              <w:rPr>
                <w:rStyle w:val="row-content-rich-text"/>
              </w:rPr>
              <w:t xml:space="preserve">Aggregate levels of alcohol consumption implied by the National Health Survey are somewhat less than the estimates of apparent consumption of alcohol based on the availability of alcoholic beverages in Australia from taxation and customs data, see </w:t>
            </w:r>
            <w:r>
              <w:rPr>
                <w:rStyle w:val="row-content-rich-text"/>
                <w:i/>
              </w:rPr>
              <w:t xml:space="preserve">Apparent Consumption of Alcohol, 2007-08</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NDSHS show slightly lower estimates of population risk than those from the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a98242a5184058">
              <w:r>
                <w:rPr>
                  <w:rStyle w:val="Hyperlink"/>
                </w:rPr>
                <w:t xml:space="preserve">National Healthcare Agreement: PI 05-Levels of risky alcohol consumption, 2013 QS</w:t>
              </w:r>
            </w:hyperlink>
          </w:p>
          <w:p>
            <w:pPr>
              <w:pStyle w:val="registration-status"/>
              <w:spacing w:before="0" w:after="0"/>
            </w:pPr>
            <w:hyperlink w:history="true" r:id="R97167d8259a94f0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bd0e453130a4e10">
              <w:r>
                <w:rPr>
                  <w:rStyle w:val="Hyperlink"/>
                </w:rPr>
                <w:t xml:space="preserve">National Healthcare Agreement: P07-Proportion of adults at risk of long-term harm from alcohol, 2010</w:t>
              </w:r>
            </w:hyperlink>
          </w:p>
          <w:p>
            <w:pPr>
              <w:pStyle w:val="registration-status"/>
              <w:spacing w:before="0" w:after="0"/>
            </w:pPr>
            <w:hyperlink w:history="true" r:id="R544e8d282c68458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18353b997ee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897ab869c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353b997ee4d07" /><Relationship Type="http://schemas.openxmlformats.org/officeDocument/2006/relationships/header" Target="/word/header1.xml" Id="Rddd8dac5c9964909" /><Relationship Type="http://schemas.openxmlformats.org/officeDocument/2006/relationships/settings" Target="/word/settings.xml" Id="Rb338def28c0145c6" /><Relationship Type="http://schemas.openxmlformats.org/officeDocument/2006/relationships/styles" Target="/word/styles.xml" Id="R911bded3416b42de" /><Relationship Type="http://schemas.openxmlformats.org/officeDocument/2006/relationships/numbering" Target="/word/numbering.xml" Id="R87a598d403ab4e01" /><Relationship Type="http://schemas.openxmlformats.org/officeDocument/2006/relationships/hyperlink" Target="https://meteor.aihw.gov.au/RegistrationAuthority/12" TargetMode="External" Id="R2fc58ae7fb114e04" /><Relationship Type="http://schemas.openxmlformats.org/officeDocument/2006/relationships/hyperlink" Target="https://meteor.aihw.gov.au/content/511908" TargetMode="External" Id="R60a98242a5184058" /><Relationship Type="http://schemas.openxmlformats.org/officeDocument/2006/relationships/hyperlink" Target="https://meteor.aihw.gov.au/RegistrationAuthority/12" TargetMode="External" Id="R97167d8259a94f01" /><Relationship Type="http://schemas.openxmlformats.org/officeDocument/2006/relationships/hyperlink" Target="https://meteor.aihw.gov.au/content/394213" TargetMode="External" Id="R5bd0e453130a4e10" /><Relationship Type="http://schemas.openxmlformats.org/officeDocument/2006/relationships/hyperlink" Target="https://meteor.aihw.gov.au/RegistrationAuthority/12" TargetMode="External" Id="R544e8d282c684585" /></Relationships>
</file>

<file path=word/_rels/header1.xml.rels>&#65279;<?xml version="1.0" encoding="utf-8"?><Relationships xmlns="http://schemas.openxmlformats.org/package/2006/relationships"><Relationship Type="http://schemas.openxmlformats.org/officeDocument/2006/relationships/image" Target="/media/image.png" Id="R5f1897ab869c4fb2" /></Relationships>
</file>