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9ab3d788840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P05-Proportion of persons obese,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P05-Proportion of persons obese,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1ba3fa16e400e">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2007-08 NHS were released in May 2009.</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2007-08 NHS collected measured height and weight from persons aged 5 years and over, and self-reported height and weight from persons aged 15 years and over. For the purposes of this Indicator, Body Mass Index (BMI) values are derived from measured height and weight information using the formula: weight (kg) / height (m)2. Data for Indigenous persons are based on self-reported height and weight, from the 2004-05 NHS and 2004-05 NATSIHS.</w:t>
            </w:r>
          </w:p>
          <w:p>
            <w:pPr/>
            <w:r>
              <w:rPr>
                <w:rStyle w:val="row-content-rich-text"/>
              </w:rPr>
              <w:t xml:space="preserve">Despite some limitations, BMI is widely used internationally as a relatively straightforward way of measuring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per cent.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RSEs for adult obesity rates for Remote areas are all greater than 25 per cent and should be used with caution. The rate for Tasmania is greater than 50 per cent. The breakdown by SEIFA quintiles has sampling error within acceptable limits, except for the Northern Territory. For children, remoteness and SEIFA disaggregations by state/territory are generally unreliable and national level figures should be used with caution.</w:t>
            </w:r>
          </w:p>
          <w:p>
            <w:pPr>
              <w:spacing w:after="160"/>
            </w:pPr>
            <w:r>
              <w:rPr>
                <w:rStyle w:val="row-content-rich-text"/>
              </w:rPr>
              <w:t xml:space="preserve">Adult obesity rates by age and sex should be used with caution at the State/Territory level, but generally have acceptable levels of sampling error at the national level and for total adults. State breakdowns for children are generally greater than 25 per cent RSE with many cells above 50 per cent and should not be considered reliable. Age by sex breakdowns at the national level are within acceptable limits.</w:t>
            </w:r>
          </w:p>
          <w:p>
            <w:pPr>
              <w:spacing w:after="160"/>
            </w:pPr>
            <w:r>
              <w:rPr>
                <w:rStyle w:val="row-content-rich-text"/>
              </w:rPr>
              <w:t xml:space="preserve">Sampling errors for BMI data for all persons by state/territory are generally within acceptable limits, though figures for Tasmania (particularly for children) should be used with caution.</w:t>
            </w:r>
          </w:p>
          <w:p>
            <w:pPr/>
            <w:r>
              <w:rPr>
                <w:rStyle w:val="row-content-rich-text"/>
              </w:rPr>
              <w:t xml:space="preserve">BMI data for children aged 15-17 years by Indigenous status was not able to be included as the small sample size meant that the data was of very poor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age- and sex-specific cutoff points for BMI categories for children are from the work of Cole TJ, Bellizzi MC, Flegal KM &amp; Dietz WH 2000, “Establishing a standard definition for child overweight and obesity worldwide: international survey”, BMJ 320:1240.</w:t>
            </w:r>
          </w:p>
          <w:p>
            <w:pPr/>
            <w:r>
              <w:rPr>
                <w:rStyle w:val="row-content-rich-text"/>
              </w:rPr>
              <w:t xml:space="preserve">The NHS and NATSIHS collect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0f0f0e914c416f">
              <w:r>
                <w:rPr>
                  <w:rStyle w:val="Hyperlink"/>
                </w:rPr>
                <w:t xml:space="preserve">National Healthcare Agreement: PI 03-Prevalence of overweight and obesity, 2013 QS</w:t>
              </w:r>
            </w:hyperlink>
          </w:p>
          <w:p>
            <w:pPr>
              <w:spacing w:before="0" w:after="0"/>
            </w:pPr>
            <w:r>
              <w:rPr>
                <w:rStyle w:val="row-content"/>
                <w:color w:val="244061"/>
              </w:rPr>
              <w:t xml:space="preserve">       </w:t>
            </w:r>
            <w:hyperlink w:history="true" r:id="R093b46b0078746f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41bbe2230a94b02">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b6e87f81aa1441e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02a59e671d0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407719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53b5b4e47d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a59e671d04eac" /><Relationship Type="http://schemas.openxmlformats.org/officeDocument/2006/relationships/header" Target="/word/header1.xml" Id="R1e25c3ff4d8b4094" /><Relationship Type="http://schemas.openxmlformats.org/officeDocument/2006/relationships/settings" Target="/word/settings.xml" Id="Rd7ce8c17f4e8475e" /><Relationship Type="http://schemas.openxmlformats.org/officeDocument/2006/relationships/styles" Target="/word/styles.xml" Id="R926ab41378af4687" /><Relationship Type="http://schemas.openxmlformats.org/officeDocument/2006/relationships/hyperlink" Target="https://meteor.aihw.gov.au/RegistrationAuthority/12" TargetMode="External" Id="Rba91ba3fa16e400e" /><Relationship Type="http://schemas.openxmlformats.org/officeDocument/2006/relationships/hyperlink" Target="https://meteor.aihw.gov.au/content/511901" TargetMode="External" Id="Rc00f0f0e914c416f" /><Relationship Type="http://schemas.openxmlformats.org/officeDocument/2006/relationships/hyperlink" Target="https://meteor.aihw.gov.au/RegistrationAuthority/12" TargetMode="External" Id="R093b46b0078746f7" /><Relationship Type="http://schemas.openxmlformats.org/officeDocument/2006/relationships/hyperlink" Target="https://meteor.aihw.gov.au/content/394043" TargetMode="External" Id="Rc41bbe2230a94b02" /><Relationship Type="http://schemas.openxmlformats.org/officeDocument/2006/relationships/hyperlink" Target="https://meteor.aihw.gov.au/RegistrationAuthority/12" TargetMode="External" Id="Rb6e87f81aa1441e8" /></Relationships>
</file>

<file path=word/_rels/header1.xml.rels>&#65279;<?xml version="1.0" encoding="utf-8"?><Relationships xmlns="http://schemas.openxmlformats.org/package/2006/relationships"><Relationship Type="http://schemas.openxmlformats.org/officeDocument/2006/relationships/image" Target="/media/image.png" Id="R7853b5b4e47d4726" /></Relationships>
</file>