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1dfe5f5774694"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9e9678dee40d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c1766bb4cd489b">
              <w:r>
                <w:rPr>
                  <w:rStyle w:val="Hyperlink"/>
                </w:rPr>
                <w:t xml:space="preserve">Prison entrant—type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f7c2107c224f4d">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f3f8e80fa4404e">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f8ea16235147f6">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0b1000553493472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3404882cad34fd9">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3883c4b3ff724384">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1497085b4d14fbf">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ddf09e46b1b140b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04f1f890d7472c">
              <w:r>
                <w:rPr>
                  <w:rStyle w:val="Hyperlink"/>
                </w:rPr>
                <w:t xml:space="preserve">Health service non-utilisation cluster</w:t>
              </w:r>
            </w:hyperlink>
          </w:p>
          <w:p>
            <w:pPr>
              <w:spacing w:before="0" w:after="0"/>
            </w:pPr>
            <w:r>
              <w:rPr>
                <w:rStyle w:val="row-content"/>
                <w:color w:val="244061"/>
              </w:rPr>
              <w:t xml:space="preserve">       </w:t>
            </w:r>
            <w:hyperlink w:history="true" r:id="Rccbcf5ac1b7b43c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indicating that he or she needed to consult with a service</w:t>
            </w:r>
            <w:r>
              <w:rPr>
                <w:rStyle w:val="row-content"/>
                <w:i/>
              </w:rPr>
              <w:t xml:space="preserve"> </w:t>
            </w:r>
            <w:r>
              <w:rPr>
                <w:rStyle w:val="row-content"/>
              </w:rPr>
              <w:t xml:space="preserve">provider for their own health but did not. </w:t>
            </w:r>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rPr>
                <w:rStyle w:val="row-content"/>
              </w:rPr>
              <w:t xml:space="preserve">The following service providers are included in the list of service providers not consulted in the community or in prison:</w:t>
            </w:r>
          </w:p>
          <w:p>
            <w:r>
              <w:rPr>
                <w:rStyle w:val="row-content"/>
              </w:rP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rPr>
                <w:rStyle w:val="row-content"/>
              </w:rPr>
              <w:t xml:space="preserve">Nurses (Registered)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r>
              <w:br/>
            </w:r>
            <w:r>
              <w:rPr>
                <w:rStyle w:val="row-content"/>
              </w:rPr>
              <w:t xml:space="preserve"> </w:t>
            </w:r>
          </w:p>
          <w:p>
            <w:r>
              <w:rPr>
                <w:rStyle w:val="row-content"/>
              </w:rP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br/>
            </w:r>
            <w:r>
              <w:br/>
            </w:r>
          </w:p>
        </w:tc>
      </w:tr>
    </w:tbl>
    <w:p/>
    <w:tbl>
      <w:tblPr>
        <w:tblStyle w:val="TableGrid"/>
        <w:tblW w:w="0" w:type="auto"/>
      </w:tblPr>
    </w:tbl>
    <w:p>
      <w:r>
        <w:br/>
      </w:r>
    </w:p>
    <w:sectPr>
      <w:footerReference xmlns:r="http://schemas.openxmlformats.org/officeDocument/2006/relationships" w:type="default" r:id="Rdf5a1dfeb9e0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547433d65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5a1dfeb9e04802" /><Relationship Type="http://schemas.openxmlformats.org/officeDocument/2006/relationships/header" Target="/word/header1.xml" Id="Ra88019dc90364edd" /><Relationship Type="http://schemas.openxmlformats.org/officeDocument/2006/relationships/settings" Target="/word/settings.xml" Id="Re0ae5855e2554af5" /><Relationship Type="http://schemas.openxmlformats.org/officeDocument/2006/relationships/styles" Target="/word/styles.xml" Id="Rf3f7c3a542654f1c" /><Relationship Type="http://schemas.openxmlformats.org/officeDocument/2006/relationships/hyperlink" Target="https://meteor.aihw.gov.au/RegistrationAuthority/12" TargetMode="External" Id="R8919e9678dee40d7" /><Relationship Type="http://schemas.openxmlformats.org/officeDocument/2006/relationships/hyperlink" Target="https://meteor.aihw.gov.au/content/402818" TargetMode="External" Id="Radc1766bb4cd489b" /><Relationship Type="http://schemas.openxmlformats.org/officeDocument/2006/relationships/hyperlink" Target="https://meteor.aihw.gov.au/content/350888" TargetMode="External" Id="Ra5f7c2107c224f4d" /><Relationship Type="http://schemas.openxmlformats.org/officeDocument/2006/relationships/hyperlink" Target="https://meteor.aihw.gov.au/content/350882" TargetMode="External" Id="R74f3f8e80fa4404e" /><Relationship Type="http://schemas.openxmlformats.org/officeDocument/2006/relationships/hyperlink" Target="https://meteor.aihw.gov.au/content/626865" TargetMode="External" Id="Ra6f8ea16235147f6" /><Relationship Type="http://schemas.openxmlformats.org/officeDocument/2006/relationships/hyperlink" Target="https://meteor.aihw.gov.au/RegistrationAuthority/12" TargetMode="External" Id="R0b1000553493472f" /><Relationship Type="http://schemas.openxmlformats.org/officeDocument/2006/relationships/hyperlink" Target="https://meteor.aihw.gov.au/content/402799" TargetMode="External" Id="R93404882cad34fd9" /><Relationship Type="http://schemas.openxmlformats.org/officeDocument/2006/relationships/hyperlink" Target="https://meteor.aihw.gov.au/RegistrationAuthority/12" TargetMode="External" Id="R3883c4b3ff724384" /><Relationship Type="http://schemas.openxmlformats.org/officeDocument/2006/relationships/hyperlink" Target="https://meteor.aihw.gov.au/content/376304" TargetMode="External" Id="R81497085b4d14fbf" /><Relationship Type="http://schemas.openxmlformats.org/officeDocument/2006/relationships/hyperlink" Target="https://meteor.aihw.gov.au/RegistrationAuthority/12" TargetMode="External" Id="Rddf09e46b1b140b1" /><Relationship Type="http://schemas.openxmlformats.org/officeDocument/2006/relationships/hyperlink" Target="https://meteor.aihw.gov.au/content/412707" TargetMode="External" Id="Rd504f1f890d7472c" /><Relationship Type="http://schemas.openxmlformats.org/officeDocument/2006/relationships/hyperlink" Target="https://meteor.aihw.gov.au/RegistrationAuthority/12" TargetMode="External" Id="Rccbcf5ac1b7b43c1" /></Relationships>
</file>

<file path=word/_rels/header1.xml.rels>&#65279;<?xml version="1.0" encoding="utf-8"?><Relationships xmlns="http://schemas.openxmlformats.org/package/2006/relationships"><Relationship Type="http://schemas.openxmlformats.org/officeDocument/2006/relationships/image" Target="/media/image.png" Id="R913547433d6548b1" /></Relationships>
</file>