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44443996244ef5" /></Relationships>
</file>

<file path=word/document.xml><?xml version="1.0" encoding="utf-8"?>
<w:document xmlns:r="http://schemas.openxmlformats.org/officeDocument/2006/relationships" xmlns:w="http://schemas.openxmlformats.org/wordprocessingml/2006/main">
  <w:body>
    <w:p>
      <w:pPr>
        <w:pStyle w:val="Title"/>
      </w:pPr>
      <w:r>
        <w:t>National Youth Information Framework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Youth Information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Youth Information Framework, previously used in developing indicators for the Young Australians: their health and wellbeing 2007 report, is aligned very closely with the NHPF, with minor modifications to better capture health and wellbeing issues relevant to young people. This framework consists of three tiers:</w:t>
            </w:r>
          </w:p>
          <w:p>
            <w:pPr>
              <w:pStyle w:val="ListParagraph"/>
              <w:numPr>
                <w:ilvl w:val="0"/>
                <w:numId w:val="2"/>
              </w:numPr>
            </w:pPr>
            <w:r>
              <w:rPr>
                <w:rStyle w:val="row-content-rich-text"/>
              </w:rPr>
              <w:t xml:space="preserve">Health status,</w:t>
            </w:r>
          </w:p>
          <w:p>
            <w:pPr>
              <w:pStyle w:val="ListParagraph"/>
              <w:numPr>
                <w:ilvl w:val="0"/>
                <w:numId w:val="2"/>
              </w:numPr>
            </w:pPr>
            <w:r>
              <w:rPr>
                <w:rStyle w:val="row-content-rich-text"/>
              </w:rPr>
              <w:t xml:space="preserve">Determinants of health and</w:t>
            </w:r>
          </w:p>
          <w:p>
            <w:pPr>
              <w:pStyle w:val="ListParagraph"/>
              <w:numPr>
                <w:ilvl w:val="0"/>
                <w:numId w:val="2"/>
              </w:numPr>
            </w:pPr>
            <w:r>
              <w:rPr>
                <w:rStyle w:val="row-content-rich-text"/>
              </w:rPr>
              <w:t xml:space="preserve">Health system performance, </w:t>
            </w:r>
          </w:p>
          <w:p>
            <w:pPr>
              <w:spacing w:after="160"/>
            </w:pPr>
            <w:r>
              <w:rPr>
                <w:rStyle w:val="row-content-rich-text"/>
              </w:rPr>
              <w:t xml:space="preserve">and includes a number of dimensions within each tier. The National Youth Information Framework provides a comprehensive set of indicators across a range of dimensions that will help monitor the health and wellbeing of young Australians.</w:t>
            </w:r>
          </w:p>
          <w:p>
            <w:pPr/>
            <w:r>
              <w:rPr>
                <w:rStyle w:val="row-content-rich-text"/>
              </w:rPr>
              <w:t xml:space="preserve"> </w:t>
            </w:r>
          </w:p>
        </w:tc>
      </w:tr>
    </w:tbl>
    <w:p>
      <w:pPr>
        <w:pStyle w:val="underlinedHeading2"/>
        <w:pBdr>
          <w:bottom w:val="single"/>
        </w:pBdr>
      </w:pPr>
      <w:r>
        <w:t xml:space="preserve">Dimensions
of this framework</w:t>
      </w:r>
    </w:p>
    <w:p>
      <w:pPr>
        <w:pStyle w:val="Heading2"/>
      </w:pPr>
      <w:r>
        <w:t xml:space="preserve">Tier 1: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401177</w:t>
            </w:r>
          </w:p>
        </w:tc>
      </w:tr>
    </w:tbl>
    <w:p>
      <w:pPr>
        <w:pStyle w:val="underlinedHeading3"/>
        <w:pBdr>
          <w:bottom w:val="single"/>
        </w:pBdr>
      </w:pPr>
      <w:r>
        <w:t xml:space="preserve">Sub-dimensions
of this framework</w:t>
      </w:r>
    </w:p>
    <w:p>
      <w:r>
        <w:br/>
      </w:r>
      <w:r>
        <w:t xml:space="preserve">        • </w:t>
      </w:r>
    </w:p>
    <w:p>
      <w:pPr>
        <w:pStyle w:val="Heading3"/>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w:t>
            </w:r>
          </w:p>
        </w:tc>
      </w:tr>
    </w:tbl>
    <w:p>
      <w:r>
        <w:br/>
      </w:r>
      <w:r>
        <w:t xml:space="preserve">        • </w:t>
      </w:r>
    </w:p>
    <w:p>
      <w:pPr>
        <w:pStyle w:val="Heading3"/>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r>
        <w:br/>
      </w:r>
      <w:r>
        <w:t xml:space="preserve">        • </w:t>
      </w:r>
    </w:p>
    <w:p>
      <w:pPr>
        <w:pStyle w:val="Heading3"/>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in participation.</w:t>
            </w:r>
          </w:p>
        </w:tc>
      </w:tr>
    </w:tbl>
    <w:p>
      <w:r>
        <w:br/>
      </w:r>
      <w:r>
        <w:t xml:space="preserve">        • </w:t>
      </w:r>
    </w:p>
    <w:p>
      <w:pPr>
        <w:pStyle w:val="Heading3"/>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w:t>
            </w:r>
          </w:p>
        </w:tc>
      </w:tr>
    </w:tbl>
    <w:p>
      <w:pPr>
        <w:pStyle w:val="Heading2"/>
      </w:pPr>
      <w:r>
        <w:t xml:space="preserve">Tier 2: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401176</w:t>
            </w:r>
          </w:p>
        </w:tc>
      </w:tr>
    </w:tbl>
    <w:p>
      <w:pPr>
        <w:pStyle w:val="underlinedHeading3"/>
        <w:pBdr>
          <w:bottom w:val="single"/>
        </w:pBdr>
      </w:pPr>
      <w:r>
        <w:t xml:space="preserve">Sub-dimensions
of this framework</w:t>
      </w:r>
    </w:p>
    <w:p>
      <w:r>
        <w:br/>
      </w:r>
      <w:r>
        <w:t xml:space="preserve">        • </w:t>
      </w:r>
    </w:p>
    <w:p>
      <w:pPr>
        <w:pStyle w:val="Heading3"/>
      </w:pPr>
      <w:r>
        <w:t xml:space="preserve">Community and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family function and environment, and socioeconomic factors, such as, housing, education, employment and income.</w:t>
            </w:r>
          </w:p>
        </w:tc>
      </w:tr>
    </w:tbl>
    <w:p>
      <w:r>
        <w:br/>
      </w:r>
      <w:r>
        <w:t xml:space="preserve">        • </w:t>
      </w:r>
    </w:p>
    <w:p>
      <w:pPr>
        <w:pStyle w:val="Heading3"/>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w:t>
            </w:r>
          </w:p>
        </w:tc>
      </w:tr>
    </w:tbl>
    <w:p>
      <w:r>
        <w:br/>
      </w:r>
      <w:r>
        <w:t xml:space="preserve">        • </w:t>
      </w:r>
    </w:p>
    <w:p>
      <w:pPr>
        <w:pStyle w:val="Heading3"/>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Heading2"/>
      </w:pPr>
      <w:r>
        <w:t xml:space="preserve">Tier 3: 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401175</w:t>
            </w:r>
          </w:p>
        </w:tc>
      </w:tr>
    </w:tbl>
    <w:p>
      <w:pPr>
        <w:pStyle w:val="underlinedHeading3"/>
        <w:pBdr>
          <w:bottom w:val="single"/>
        </w:pBdr>
      </w:pPr>
      <w:r>
        <w:t xml:space="preserve">Sub-dimensions
of this framework</w:t>
      </w:r>
    </w:p>
    <w:p>
      <w:r>
        <w:br/>
      </w:r>
      <w:r>
        <w:t xml:space="preserve">        • </w:t>
      </w:r>
    </w:p>
    <w:p>
      <w:pPr>
        <w:pStyle w:val="Heading3"/>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the right time, irrespective of income, physical location and cultural background. </w:t>
            </w:r>
          </w:p>
        </w:tc>
      </w:tr>
    </w:tbl>
    <w:p>
      <w:r>
        <w:br/>
      </w:r>
      <w:r>
        <w:t xml:space="preserve">        • </w:t>
      </w:r>
    </w:p>
    <w:p>
      <w:pPr>
        <w:pStyle w:val="Heading3"/>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r>
        <w:br/>
      </w:r>
      <w:r>
        <w:t xml:space="preserve">        • </w:t>
      </w:r>
    </w:p>
    <w:p>
      <w:pPr>
        <w:pStyle w:val="Heading3"/>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the desired outcome. </w:t>
            </w:r>
          </w:p>
        </w:tc>
      </w:tr>
    </w:tbl>
    <w:p>
      <w:r>
        <w:br/>
      </w:r>
      <w:r>
        <w:t xml:space="preserve">        • </w:t>
      </w:r>
    </w:p>
    <w:p>
      <w:pPr>
        <w:pStyle w:val="Heading3"/>
      </w:pPr>
      <w:r>
        <w:t xml:space="preserve">Efficiency and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cost-effective use of resources. Capacity of system to sustain workforce and infrastructure, to innovate and respond to emerging needs.</w:t>
            </w:r>
          </w:p>
        </w:tc>
      </w:tr>
    </w:tbl>
    <w:p>
      <w:r>
        <w:br/>
      </w:r>
      <w:r>
        <w:t xml:space="preserve">        • </w:t>
      </w:r>
    </w:p>
    <w:p>
      <w:pPr>
        <w:pStyle w:val="Heading3"/>
      </w:pPr>
      <w:r>
        <w:t xml:space="preserve">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client oriented. Clients are treated with dignity, confidentiality, and encouraged to participate in choices related to their care.</w:t>
            </w:r>
          </w:p>
        </w:tc>
      </w:tr>
    </w:tbl>
    <w:p>
      <w:r>
        <w:br/>
      </w:r>
      <w:r>
        <w:t xml:space="preserve">        • </w:t>
      </w:r>
    </w:p>
    <w:p>
      <w:pPr>
        <w:pStyle w:val="Heading3"/>
      </w:pPr>
      <w:r>
        <w:t xml:space="preserve">Safety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limits, of actual or potential harm from health-care management or the environment in which health care is delivered. </w:t>
            </w:r>
          </w:p>
        </w:tc>
      </w:tr>
    </w:tbl>
    <w:p>
      <w:r>
        <w:br/>
      </w:r>
    </w:p>
    <w:sectPr>
      <w:footerReference xmlns:r="http://schemas.openxmlformats.org/officeDocument/2006/relationships" w:type="default" r:id="Rb34ec04ab1104c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2f27b847543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ec04ab1104caf" /><Relationship Type="http://schemas.openxmlformats.org/officeDocument/2006/relationships/header" Target="/word/header1.xml" Id="Rb1930dfeec25411d" /><Relationship Type="http://schemas.openxmlformats.org/officeDocument/2006/relationships/settings" Target="/word/settings.xml" Id="Rd91c1366dcda4780" /><Relationship Type="http://schemas.openxmlformats.org/officeDocument/2006/relationships/styles" Target="/word/styles.xml" Id="R16a205d64b904f3d" /><Relationship Type="http://schemas.openxmlformats.org/officeDocument/2006/relationships/numbering" Target="/word/numbering.xml" Id="R0529bce6d2864ffe" /></Relationships>
</file>

<file path=word/_rels/header1.xml.rels>&#65279;<?xml version="1.0" encoding="utf-8"?><Relationships xmlns="http://schemas.openxmlformats.org/package/2006/relationships"><Relationship Type="http://schemas.openxmlformats.org/officeDocument/2006/relationships/image" Target="/media/image.png" Id="R9602f27b84754366" /></Relationships>
</file>