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6f91e33fa4842e5"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event—outpatient clinic 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event—outpatient clinic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Outpatient clinic type—non-admitted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400598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a3e143b5fa74b40">
              <w:r>
                <w:rPr>
                  <w:rStyle w:val="Hyperlink"/>
                  <w:color w:val="244061"/>
                </w:rPr>
                <w:t xml:space="preserve">Health</w:t>
              </w:r>
            </w:hyperlink>
            <w:r>
              <w:rPr>
                <w:rStyle w:val="row-content"/>
                <w:color w:val="244061"/>
              </w:rPr>
              <w:t xml:space="preserve">, Standard 06/10/2010</w:t>
            </w:r>
          </w:p>
          <w:p>
            <w:pPr>
              <w:spacing w:before="0" w:after="0"/>
            </w:pPr>
            <w:hyperlink w:history="true" r:id="R0feba98653be49a8">
              <w:r>
                <w:rPr>
                  <w:rStyle w:val="Hyperlink"/>
                  <w:color w:val="244061"/>
                </w:rPr>
                <w:t xml:space="preserve">Independent Hospital Pricing Authority</w:t>
              </w:r>
            </w:hyperlink>
            <w:r>
              <w:rPr>
                <w:rStyle w:val="row-content"/>
                <w:color w:val="244061"/>
              </w:rPr>
              <w:t xml:space="preserve">, Standard 01/11/2012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organisational unit or organisational arrangement through which a hospital provides a service to a non-admitted patient,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for use in the Non-admitted patient context, uses a value domain developed for the Outpatient care NMDS, which includes one reference to 'occasions of service'. In this context, 'occasions of service' should be interpreted as synonymous to a 'non-admitted patient 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f0ea4dbfae04369">
              <w:r>
                <w:rPr>
                  <w:rStyle w:val="Hyperlink"/>
                </w:rPr>
                <w:t xml:space="preserve">Non-admitted patient service event—outpatient clinic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0f916fddf3749aa">
              <w:r>
                <w:rPr>
                  <w:rStyle w:val="Hyperlink"/>
                </w:rPr>
                <w:t xml:space="preserve">Outpatient clinic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Allied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Dental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Gynaecology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Obstetrics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Cardiology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Endocrinology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Oncology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Respiratory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Gastroenterology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Medical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General practice/primary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Paediatric medical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Endoscopy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Plastic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Urology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Orthopaedic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Ophthalmology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Ear, nose and throat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Pre-admission and pre-anaesthesia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Chemotherapy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Dialysis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Paediatric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w:t>
            </w:r>
            <w:r>
              <w:br/>
            </w:r>
            <w:r>
              <w:t xml:space="preserve"> </w:t>
            </w:r>
          </w:p>
        </w:tc>
        <w:tc>
          <w:tcPr>
            <w:tcBorders>
              <w:top w:val="none" w:color="000000" w:sz="0"/>
              <w:left w:val="none" w:color="000000" w:sz="0"/>
              <w:bottom w:val="none" w:color="000000" w:sz="0"/>
              <w:right w:val="none" w:color="000000" w:sz="0"/>
            </w:tcBorders>
            <w:vAlign w:val="top"/>
          </w:tcPr>
          <w:p>
            <w:r>
              <w:t xml:space="preserve">Renal medical</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rules for allocating (mapping) clinic services to the clinic codes structure is the responsibility of each State and Territory and these rules need to be applied consistently within each State and Territory.</w:t>
            </w:r>
          </w:p>
          <w:p>
            <w:pPr>
              <w:spacing w:after="160"/>
            </w:pPr>
            <w:r>
              <w:rPr>
                <w:rStyle w:val="row-content-rich-text"/>
              </w:rPr>
              <w:t xml:space="preserve">In most cases, reference to the code guide of permissible values will be adequate to map a hospital's clinics to the data domain. If not, general principles for mapping existing clinics to the data domain should take account of (a) the nature of the specialty, (b) patient characteristics, e.g. age, and (c) the field of practice of the service provider.</w:t>
            </w:r>
          </w:p>
          <w:p>
            <w:pPr>
              <w:spacing w:after="160"/>
            </w:pPr>
            <w:r>
              <w:rPr>
                <w:rStyle w:val="row-content-rich-text"/>
              </w:rPr>
              <w:t xml:space="preserve">Where the patient characteristics have determined that a paediatric clinic type is appropriate, then further differentiation between surgical and medical is determined by (a) the nature of the specialty, and (b) the field of practice of the service provider. That is, paediatric medical would include any investigations, treatment(s) or services provided to a child which do not pertain to the surgical care of diseases or injuries.</w:t>
            </w:r>
          </w:p>
          <w:p>
            <w:pPr>
              <w:spacing w:after="160"/>
            </w:pPr>
            <w:r>
              <w:rPr>
                <w:rStyle w:val="row-content-rich-text"/>
              </w:rPr>
              <w:t xml:space="preserve">In paediatric hospitals, the full range of clinic types should be used.</w:t>
            </w:r>
          </w:p>
          <w:p>
            <w:pPr>
              <w:spacing w:after="160"/>
            </w:pPr>
            <w:r>
              <w:rPr>
                <w:rStyle w:val="row-content-rich-text"/>
              </w:rPr>
              <w:t xml:space="preserve">A guide for the permissible values of codes for the outpatient clinic types is as follows:</w:t>
            </w:r>
          </w:p>
          <w:p>
            <w:pPr>
              <w:spacing w:after="160"/>
            </w:pPr>
            <w:r>
              <w:rPr>
                <w:rStyle w:val="row-content-rich-text"/>
              </w:rPr>
              <w:t xml:space="preserve">CODE 1     Allied Health</w:t>
            </w:r>
          </w:p>
          <w:p>
            <w:pPr>
              <w:pStyle w:val="ListParagraph"/>
              <w:numPr>
                <w:ilvl w:val="0"/>
                <w:numId w:val="2"/>
              </w:numPr>
            </w:pPr>
            <w:r>
              <w:rPr>
                <w:rStyle w:val="row-content-rich-text"/>
              </w:rPr>
              <w:t xml:space="preserve">Audiology.</w:t>
            </w:r>
          </w:p>
          <w:p>
            <w:pPr>
              <w:pStyle w:val="ListParagraph"/>
              <w:numPr>
                <w:ilvl w:val="0"/>
                <w:numId w:val="2"/>
              </w:numPr>
            </w:pPr>
            <w:r>
              <w:rPr>
                <w:rStyle w:val="row-content-rich-text"/>
              </w:rPr>
              <w:t xml:space="preserve">Clinical Pharmacology.</w:t>
            </w:r>
          </w:p>
          <w:p>
            <w:pPr>
              <w:pStyle w:val="ListParagraph"/>
              <w:numPr>
                <w:ilvl w:val="0"/>
                <w:numId w:val="2"/>
              </w:numPr>
            </w:pPr>
            <w:r>
              <w:rPr>
                <w:rStyle w:val="row-content-rich-text"/>
              </w:rPr>
              <w:t xml:space="preserve">Neuropsychology.</w:t>
            </w:r>
          </w:p>
          <w:p>
            <w:pPr>
              <w:pStyle w:val="ListParagraph"/>
              <w:numPr>
                <w:ilvl w:val="0"/>
                <w:numId w:val="2"/>
              </w:numPr>
            </w:pPr>
            <w:r>
              <w:rPr>
                <w:rStyle w:val="row-content-rich-text"/>
              </w:rPr>
              <w:t xml:space="preserve">Dietetics.</w:t>
            </w:r>
          </w:p>
          <w:p>
            <w:pPr>
              <w:pStyle w:val="ListParagraph"/>
              <w:numPr>
                <w:ilvl w:val="0"/>
                <w:numId w:val="2"/>
              </w:numPr>
            </w:pPr>
            <w:r>
              <w:rPr>
                <w:rStyle w:val="row-content-rich-text"/>
              </w:rPr>
              <w:t xml:space="preserve">Occupational therapy.</w:t>
            </w:r>
          </w:p>
          <w:p>
            <w:pPr>
              <w:pStyle w:val="ListParagraph"/>
              <w:numPr>
                <w:ilvl w:val="0"/>
                <w:numId w:val="2"/>
              </w:numPr>
            </w:pPr>
            <w:r>
              <w:rPr>
                <w:rStyle w:val="row-content-rich-text"/>
              </w:rPr>
              <w:t xml:space="preserve">Optometry.</w:t>
            </w:r>
          </w:p>
          <w:p>
            <w:pPr>
              <w:pStyle w:val="ListParagraph"/>
              <w:numPr>
                <w:ilvl w:val="0"/>
                <w:numId w:val="2"/>
              </w:numPr>
            </w:pPr>
            <w:r>
              <w:rPr>
                <w:rStyle w:val="row-content-rich-text"/>
              </w:rPr>
              <w:t xml:space="preserve">Orthoptics.</w:t>
            </w:r>
          </w:p>
          <w:p>
            <w:pPr>
              <w:pStyle w:val="ListParagraph"/>
              <w:numPr>
                <w:ilvl w:val="0"/>
                <w:numId w:val="2"/>
              </w:numPr>
            </w:pPr>
            <w:r>
              <w:rPr>
                <w:rStyle w:val="row-content-rich-text"/>
              </w:rPr>
              <w:t xml:space="preserve">Orthotics.</w:t>
            </w:r>
          </w:p>
          <w:p>
            <w:pPr>
              <w:pStyle w:val="ListParagraph"/>
              <w:numPr>
                <w:ilvl w:val="0"/>
                <w:numId w:val="2"/>
              </w:numPr>
            </w:pPr>
            <w:r>
              <w:rPr>
                <w:rStyle w:val="row-content-rich-text"/>
              </w:rPr>
              <w:t xml:space="preserve">Physiotherapy.</w:t>
            </w:r>
          </w:p>
          <w:p>
            <w:pPr>
              <w:pStyle w:val="ListParagraph"/>
              <w:numPr>
                <w:ilvl w:val="0"/>
                <w:numId w:val="2"/>
              </w:numPr>
            </w:pPr>
            <w:r>
              <w:rPr>
                <w:rStyle w:val="row-content-rich-text"/>
              </w:rPr>
              <w:t xml:space="preserve">Podiatry.</w:t>
            </w:r>
          </w:p>
          <w:p>
            <w:pPr>
              <w:pStyle w:val="ListParagraph"/>
              <w:numPr>
                <w:ilvl w:val="0"/>
                <w:numId w:val="2"/>
              </w:numPr>
            </w:pPr>
            <w:r>
              <w:rPr>
                <w:rStyle w:val="row-content-rich-text"/>
              </w:rPr>
              <w:t xml:space="preserve">Prosthetics.</w:t>
            </w:r>
          </w:p>
          <w:p>
            <w:pPr>
              <w:pStyle w:val="ListParagraph"/>
              <w:numPr>
                <w:ilvl w:val="0"/>
                <w:numId w:val="2"/>
              </w:numPr>
            </w:pPr>
            <w:r>
              <w:rPr>
                <w:rStyle w:val="row-content-rich-text"/>
              </w:rPr>
              <w:t xml:space="preserve">Psychology.</w:t>
            </w:r>
          </w:p>
          <w:p>
            <w:pPr>
              <w:pStyle w:val="ListParagraph"/>
              <w:numPr>
                <w:ilvl w:val="0"/>
                <w:numId w:val="2"/>
              </w:numPr>
            </w:pPr>
            <w:r>
              <w:rPr>
                <w:rStyle w:val="row-content-rich-text"/>
              </w:rPr>
              <w:t xml:space="preserve">Social work.</w:t>
            </w:r>
          </w:p>
          <w:p>
            <w:pPr>
              <w:pStyle w:val="ListParagraph"/>
              <w:numPr>
                <w:ilvl w:val="0"/>
                <w:numId w:val="2"/>
              </w:numPr>
            </w:pPr>
            <w:r>
              <w:rPr>
                <w:rStyle w:val="row-content-rich-text"/>
              </w:rPr>
              <w:t xml:space="preserve">Speech pathology.</w:t>
            </w:r>
          </w:p>
          <w:p>
            <w:pPr>
              <w:spacing w:after="160"/>
            </w:pPr>
            <w:r>
              <w:rPr>
                <w:rStyle w:val="row-content-rich-text"/>
              </w:rPr>
              <w:t xml:space="preserve">Includes clinics specified in mapping list above run solely by these Allied Health (AH) professionals. Example: A speech Pathologist conducting a clinic with booked patients for speech pathology services.</w:t>
            </w:r>
          </w:p>
          <w:p>
            <w:pPr>
              <w:spacing w:after="160"/>
            </w:pPr>
            <w:r>
              <w:rPr>
                <w:rStyle w:val="row-content-rich-text"/>
              </w:rPr>
              <w:t xml:space="preserve">Excludes services provided by AH professionals in clinics classified in codes 2-23. Example: a physiotherapist running a cardiac rehabilitation clinic is classified to the Cardiology Clinic (see code 5).</w:t>
            </w:r>
          </w:p>
          <w:p>
            <w:pPr>
              <w:spacing w:after="160"/>
            </w:pPr>
            <w:r>
              <w:rPr>
                <w:rStyle w:val="row-content-rich-text"/>
              </w:rPr>
              <w:t xml:space="preserve">CODE 2     Dental</w:t>
            </w:r>
          </w:p>
          <w:p>
            <w:pPr>
              <w:pStyle w:val="ListParagraph"/>
              <w:numPr>
                <w:ilvl w:val="0"/>
                <w:numId w:val="3"/>
              </w:numPr>
            </w:pPr>
            <w:r>
              <w:rPr>
                <w:rStyle w:val="row-content-rich-text"/>
              </w:rPr>
              <w:t xml:space="preserve">Dental.</w:t>
            </w:r>
          </w:p>
          <w:p>
            <w:pPr>
              <w:spacing w:after="160"/>
            </w:pPr>
            <w:r>
              <w:rPr>
                <w:rStyle w:val="row-content-rich-text"/>
              </w:rPr>
              <w:t xml:space="preserve">CODE 3     Gynaecology</w:t>
            </w:r>
          </w:p>
          <w:p>
            <w:pPr>
              <w:pStyle w:val="ListParagraph"/>
              <w:numPr>
                <w:ilvl w:val="0"/>
                <w:numId w:val="4"/>
              </w:numPr>
            </w:pPr>
            <w:r>
              <w:rPr>
                <w:rStyle w:val="row-content-rich-text"/>
              </w:rPr>
              <w:t xml:space="preserve">Gynaecology.</w:t>
            </w:r>
          </w:p>
          <w:p>
            <w:pPr>
              <w:pStyle w:val="ListParagraph"/>
              <w:numPr>
                <w:ilvl w:val="0"/>
                <w:numId w:val="4"/>
              </w:numPr>
            </w:pPr>
            <w:r>
              <w:rPr>
                <w:rStyle w:val="row-content-rich-text"/>
              </w:rPr>
              <w:t xml:space="preserve">Gynaecological oncology (excluding chemotherapy).</w:t>
            </w:r>
          </w:p>
          <w:p>
            <w:pPr>
              <w:pStyle w:val="ListParagraph"/>
              <w:numPr>
                <w:ilvl w:val="0"/>
                <w:numId w:val="4"/>
              </w:numPr>
            </w:pPr>
            <w:r>
              <w:rPr>
                <w:rStyle w:val="row-content-rich-text"/>
              </w:rPr>
              <w:t xml:space="preserve">Menopause.</w:t>
            </w:r>
          </w:p>
          <w:p>
            <w:pPr>
              <w:pStyle w:val="ListParagraph"/>
              <w:numPr>
                <w:ilvl w:val="0"/>
                <w:numId w:val="4"/>
              </w:numPr>
            </w:pPr>
            <w:r>
              <w:rPr>
                <w:rStyle w:val="row-content-rich-text"/>
              </w:rPr>
              <w:t xml:space="preserve">Assisted reproduction, infertility.</w:t>
            </w:r>
          </w:p>
          <w:p>
            <w:pPr>
              <w:pStyle w:val="ListParagraph"/>
              <w:numPr>
                <w:ilvl w:val="0"/>
                <w:numId w:val="4"/>
              </w:numPr>
            </w:pPr>
            <w:r>
              <w:rPr>
                <w:rStyle w:val="row-content-rich-text"/>
              </w:rPr>
              <w:t xml:space="preserve">Family planning.</w:t>
            </w:r>
          </w:p>
          <w:p>
            <w:pPr>
              <w:spacing w:after="160"/>
            </w:pPr>
            <w:r>
              <w:rPr>
                <w:rStyle w:val="row-content-rich-text"/>
              </w:rPr>
              <w:t xml:space="preserve">CODE 4     Obstetrics</w:t>
            </w:r>
          </w:p>
          <w:p>
            <w:pPr>
              <w:pStyle w:val="ListParagraph"/>
              <w:numPr>
                <w:ilvl w:val="0"/>
                <w:numId w:val="5"/>
              </w:numPr>
            </w:pPr>
            <w:r>
              <w:rPr>
                <w:rStyle w:val="row-content-rich-text"/>
              </w:rPr>
              <w:t xml:space="preserve">Obstetrics.</w:t>
            </w:r>
          </w:p>
          <w:p>
            <w:pPr>
              <w:pStyle w:val="ListParagraph"/>
              <w:numPr>
                <w:ilvl w:val="0"/>
                <w:numId w:val="5"/>
              </w:numPr>
            </w:pPr>
            <w:r>
              <w:rPr>
                <w:rStyle w:val="row-content-rich-text"/>
              </w:rPr>
              <w:t xml:space="preserve">Childbirth education.</w:t>
            </w:r>
          </w:p>
          <w:p>
            <w:pPr>
              <w:pStyle w:val="ListParagraph"/>
              <w:numPr>
                <w:ilvl w:val="0"/>
                <w:numId w:val="5"/>
              </w:numPr>
            </w:pPr>
            <w:r>
              <w:rPr>
                <w:rStyle w:val="row-content-rich-text"/>
              </w:rPr>
              <w:t xml:space="preserve">Antenatal.</w:t>
            </w:r>
          </w:p>
          <w:p>
            <w:pPr>
              <w:pStyle w:val="ListParagraph"/>
              <w:numPr>
                <w:ilvl w:val="0"/>
                <w:numId w:val="5"/>
              </w:numPr>
            </w:pPr>
            <w:r>
              <w:rPr>
                <w:rStyle w:val="row-content-rich-text"/>
              </w:rPr>
              <w:t xml:space="preserve">Postnatal.</w:t>
            </w:r>
          </w:p>
          <w:p>
            <w:pPr>
              <w:spacing w:after="160"/>
            </w:pPr>
            <w:r>
              <w:rPr>
                <w:rStyle w:val="row-content-rich-text"/>
              </w:rPr>
              <w:t xml:space="preserve">Excludes gestational diabetes (see code 6).</w:t>
            </w:r>
          </w:p>
          <w:p>
            <w:pPr>
              <w:spacing w:after="160"/>
            </w:pPr>
            <w:r>
              <w:rPr>
                <w:rStyle w:val="row-content-rich-text"/>
              </w:rPr>
              <w:t xml:space="preserve">CODE 5     Cardiology</w:t>
            </w:r>
          </w:p>
          <w:p>
            <w:pPr>
              <w:pStyle w:val="ListParagraph"/>
              <w:numPr>
                <w:ilvl w:val="0"/>
                <w:numId w:val="6"/>
              </w:numPr>
            </w:pPr>
            <w:r>
              <w:rPr>
                <w:rStyle w:val="row-content-rich-text"/>
              </w:rPr>
              <w:t xml:space="preserve">Cardiac rehabilitation.</w:t>
            </w:r>
          </w:p>
          <w:p>
            <w:pPr>
              <w:pStyle w:val="ListParagraph"/>
              <w:numPr>
                <w:ilvl w:val="0"/>
                <w:numId w:val="6"/>
              </w:numPr>
            </w:pPr>
            <w:r>
              <w:rPr>
                <w:rStyle w:val="row-content-rich-text"/>
              </w:rPr>
              <w:t xml:space="preserve">ECG.</w:t>
            </w:r>
          </w:p>
          <w:p>
            <w:pPr>
              <w:pStyle w:val="ListParagraph"/>
              <w:numPr>
                <w:ilvl w:val="0"/>
                <w:numId w:val="6"/>
              </w:numPr>
            </w:pPr>
            <w:r>
              <w:rPr>
                <w:rStyle w:val="row-content-rich-text"/>
              </w:rPr>
              <w:t xml:space="preserve">Doppler.</w:t>
            </w:r>
          </w:p>
          <w:p>
            <w:pPr>
              <w:pStyle w:val="ListParagraph"/>
              <w:numPr>
                <w:ilvl w:val="0"/>
                <w:numId w:val="6"/>
              </w:numPr>
            </w:pPr>
            <w:r>
              <w:rPr>
                <w:rStyle w:val="row-content-rich-text"/>
              </w:rPr>
              <w:t xml:space="preserve">Cardiac stress test.</w:t>
            </w:r>
          </w:p>
          <w:p>
            <w:pPr>
              <w:pStyle w:val="ListParagraph"/>
              <w:numPr>
                <w:ilvl w:val="0"/>
                <w:numId w:val="6"/>
              </w:numPr>
            </w:pPr>
            <w:r>
              <w:rPr>
                <w:rStyle w:val="row-content-rich-text"/>
              </w:rPr>
              <w:t xml:space="preserve">Hypertension.</w:t>
            </w:r>
          </w:p>
          <w:p>
            <w:pPr>
              <w:pStyle w:val="ListParagraph"/>
              <w:numPr>
                <w:ilvl w:val="0"/>
                <w:numId w:val="6"/>
              </w:numPr>
            </w:pPr>
            <w:r>
              <w:rPr>
                <w:rStyle w:val="row-content-rich-text"/>
              </w:rPr>
              <w:t xml:space="preserve">Pacemaker.</w:t>
            </w:r>
          </w:p>
          <w:p>
            <w:pPr>
              <w:spacing w:after="160"/>
            </w:pPr>
            <w:r>
              <w:rPr>
                <w:rStyle w:val="row-content-rich-text"/>
              </w:rPr>
              <w:t xml:space="preserve">Excludes cardiac catheterisation (see code 22).</w:t>
            </w:r>
          </w:p>
          <w:p>
            <w:pPr>
              <w:spacing w:after="160"/>
            </w:pPr>
            <w:r>
              <w:rPr>
                <w:rStyle w:val="row-content-rich-text"/>
              </w:rPr>
              <w:t xml:space="preserve">CODE 6     Endocrinology</w:t>
            </w:r>
          </w:p>
          <w:p>
            <w:pPr>
              <w:pStyle w:val="ListParagraph"/>
              <w:numPr>
                <w:ilvl w:val="0"/>
                <w:numId w:val="7"/>
              </w:numPr>
            </w:pPr>
            <w:r>
              <w:rPr>
                <w:rStyle w:val="row-content-rich-text"/>
              </w:rPr>
              <w:t xml:space="preserve">Endocrine.</w:t>
            </w:r>
          </w:p>
          <w:p>
            <w:pPr>
              <w:pStyle w:val="ListParagraph"/>
              <w:numPr>
                <w:ilvl w:val="0"/>
                <w:numId w:val="7"/>
              </w:numPr>
            </w:pPr>
            <w:r>
              <w:rPr>
                <w:rStyle w:val="row-content-rich-text"/>
              </w:rPr>
              <w:t xml:space="preserve">Gestational diabetes.</w:t>
            </w:r>
          </w:p>
          <w:p>
            <w:pPr>
              <w:pStyle w:val="ListParagraph"/>
              <w:numPr>
                <w:ilvl w:val="0"/>
                <w:numId w:val="7"/>
              </w:numPr>
            </w:pPr>
            <w:r>
              <w:rPr>
                <w:rStyle w:val="row-content-rich-text"/>
              </w:rPr>
              <w:t xml:space="preserve">Thyroid.</w:t>
            </w:r>
          </w:p>
          <w:p>
            <w:pPr>
              <w:pStyle w:val="ListParagraph"/>
              <w:numPr>
                <w:ilvl w:val="0"/>
                <w:numId w:val="7"/>
              </w:numPr>
            </w:pPr>
            <w:r>
              <w:rPr>
                <w:rStyle w:val="row-content-rich-text"/>
              </w:rPr>
              <w:t xml:space="preserve">Metabolic.</w:t>
            </w:r>
          </w:p>
          <w:p>
            <w:pPr>
              <w:pStyle w:val="ListParagraph"/>
              <w:numPr>
                <w:ilvl w:val="0"/>
                <w:numId w:val="7"/>
              </w:numPr>
            </w:pPr>
            <w:r>
              <w:rPr>
                <w:rStyle w:val="row-content-rich-text"/>
              </w:rPr>
              <w:t xml:space="preserve">Diabetes.</w:t>
            </w:r>
          </w:p>
          <w:p>
            <w:pPr>
              <w:pStyle w:val="ListParagraph"/>
              <w:numPr>
                <w:ilvl w:val="0"/>
                <w:numId w:val="7"/>
              </w:numPr>
            </w:pPr>
            <w:r>
              <w:rPr>
                <w:rStyle w:val="row-content-rich-text"/>
              </w:rPr>
              <w:t xml:space="preserve">Diabetes education.</w:t>
            </w:r>
          </w:p>
          <w:p>
            <w:pPr>
              <w:spacing w:after="160"/>
            </w:pPr>
            <w:r>
              <w:rPr>
                <w:rStyle w:val="row-content-rich-text"/>
              </w:rPr>
              <w:t xml:space="preserve">CODE 7     Oncology</w:t>
            </w:r>
          </w:p>
          <w:p>
            <w:pPr>
              <w:pStyle w:val="ListParagraph"/>
              <w:numPr>
                <w:ilvl w:val="0"/>
                <w:numId w:val="8"/>
              </w:numPr>
            </w:pPr>
            <w:r>
              <w:rPr>
                <w:rStyle w:val="row-content-rich-text"/>
              </w:rPr>
              <w:t xml:space="preserve">Oncology.</w:t>
            </w:r>
          </w:p>
          <w:p>
            <w:pPr>
              <w:pStyle w:val="ListParagraph"/>
              <w:numPr>
                <w:ilvl w:val="0"/>
                <w:numId w:val="8"/>
              </w:numPr>
            </w:pPr>
            <w:r>
              <w:rPr>
                <w:rStyle w:val="row-content-rich-text"/>
              </w:rPr>
              <w:t xml:space="preserve">Lymphoedema.</w:t>
            </w:r>
          </w:p>
          <w:p>
            <w:pPr>
              <w:pStyle w:val="ListParagraph"/>
              <w:numPr>
                <w:ilvl w:val="0"/>
                <w:numId w:val="8"/>
              </w:numPr>
            </w:pPr>
            <w:r>
              <w:rPr>
                <w:rStyle w:val="row-content-rich-text"/>
              </w:rPr>
              <w:t xml:space="preserve">Radiation oncology.</w:t>
            </w:r>
          </w:p>
          <w:p>
            <w:pPr>
              <w:spacing w:after="160"/>
            </w:pPr>
            <w:r>
              <w:rPr>
                <w:rStyle w:val="row-content-rich-text"/>
              </w:rPr>
              <w:t xml:space="preserve">Excludes chemotherapy (see code 20).</w:t>
            </w:r>
          </w:p>
          <w:p>
            <w:pPr>
              <w:spacing w:after="160"/>
            </w:pPr>
            <w:r>
              <w:rPr>
                <w:rStyle w:val="row-content-rich-text"/>
              </w:rPr>
              <w:t xml:space="preserve">Excludes gynaecological oncology (see code 3).</w:t>
            </w:r>
          </w:p>
          <w:p>
            <w:pPr>
              <w:spacing w:after="160"/>
            </w:pPr>
            <w:r>
              <w:rPr>
                <w:rStyle w:val="row-content-rich-text"/>
              </w:rPr>
              <w:t xml:space="preserve">CODE 8     Respiratory</w:t>
            </w:r>
          </w:p>
          <w:p>
            <w:pPr>
              <w:pStyle w:val="ListParagraph"/>
              <w:numPr>
                <w:ilvl w:val="0"/>
                <w:numId w:val="9"/>
              </w:numPr>
            </w:pPr>
            <w:r>
              <w:rPr>
                <w:rStyle w:val="row-content-rich-text"/>
              </w:rPr>
              <w:t xml:space="preserve">Asthma.</w:t>
            </w:r>
          </w:p>
          <w:p>
            <w:pPr>
              <w:pStyle w:val="ListParagraph"/>
              <w:numPr>
                <w:ilvl w:val="0"/>
                <w:numId w:val="9"/>
              </w:numPr>
            </w:pPr>
            <w:r>
              <w:rPr>
                <w:rStyle w:val="row-content-rich-text"/>
              </w:rPr>
              <w:t xml:space="preserve">Asthma education.</w:t>
            </w:r>
          </w:p>
          <w:p>
            <w:pPr>
              <w:pStyle w:val="ListParagraph"/>
              <w:numPr>
                <w:ilvl w:val="0"/>
                <w:numId w:val="9"/>
              </w:numPr>
            </w:pPr>
            <w:r>
              <w:rPr>
                <w:rStyle w:val="row-content-rich-text"/>
              </w:rPr>
              <w:t xml:space="preserve">Respiratory; excludes tuberculosis (see code 10).</w:t>
            </w:r>
          </w:p>
          <w:p>
            <w:pPr>
              <w:pStyle w:val="ListParagraph"/>
              <w:numPr>
                <w:ilvl w:val="0"/>
                <w:numId w:val="9"/>
              </w:numPr>
            </w:pPr>
            <w:r>
              <w:rPr>
                <w:rStyle w:val="row-content-rich-text"/>
              </w:rPr>
              <w:t xml:space="preserve">Cystic Fibrosis.</w:t>
            </w:r>
          </w:p>
          <w:p>
            <w:pPr>
              <w:pStyle w:val="ListParagraph"/>
              <w:numPr>
                <w:ilvl w:val="0"/>
                <w:numId w:val="9"/>
              </w:numPr>
            </w:pPr>
            <w:r>
              <w:rPr>
                <w:rStyle w:val="row-content-rich-text"/>
              </w:rPr>
              <w:t xml:space="preserve">Sleep.</w:t>
            </w:r>
          </w:p>
          <w:p>
            <w:pPr>
              <w:pStyle w:val="ListParagraph"/>
              <w:numPr>
                <w:ilvl w:val="0"/>
                <w:numId w:val="9"/>
              </w:numPr>
            </w:pPr>
            <w:r>
              <w:rPr>
                <w:rStyle w:val="row-content-rich-text"/>
              </w:rPr>
              <w:t xml:space="preserve">Pulmonary.</w:t>
            </w:r>
          </w:p>
          <w:p>
            <w:pPr>
              <w:spacing w:after="160"/>
            </w:pPr>
            <w:r>
              <w:rPr>
                <w:rStyle w:val="row-content-rich-text"/>
              </w:rPr>
              <w:t xml:space="preserve">CODE 9     Gastroenterology</w:t>
            </w:r>
          </w:p>
          <w:p>
            <w:pPr>
              <w:pStyle w:val="ListParagraph"/>
              <w:numPr>
                <w:ilvl w:val="0"/>
                <w:numId w:val="10"/>
              </w:numPr>
            </w:pPr>
            <w:r>
              <w:rPr>
                <w:rStyle w:val="row-content-rich-text"/>
              </w:rPr>
              <w:t xml:space="preserve">Gastroenterology.</w:t>
            </w:r>
          </w:p>
          <w:p>
            <w:pPr>
              <w:spacing w:after="160"/>
            </w:pPr>
            <w:r>
              <w:rPr>
                <w:rStyle w:val="row-content-rich-text"/>
              </w:rPr>
              <w:t xml:space="preserve">Excludes endoscopy (see code 13).</w:t>
            </w:r>
          </w:p>
          <w:p>
            <w:pPr>
              <w:spacing w:after="160"/>
            </w:pPr>
            <w:r>
              <w:rPr>
                <w:rStyle w:val="row-content-rich-text"/>
              </w:rPr>
              <w:t xml:space="preserve">CODE 10    Medical</w:t>
            </w:r>
          </w:p>
          <w:p>
            <w:pPr>
              <w:pStyle w:val="ListParagraph"/>
              <w:numPr>
                <w:ilvl w:val="0"/>
                <w:numId w:val="11"/>
              </w:numPr>
            </w:pPr>
            <w:r>
              <w:rPr>
                <w:rStyle w:val="row-content-rich-text"/>
              </w:rPr>
              <w:t xml:space="preserve">Aged care, geriatric, gerontology.</w:t>
            </w:r>
          </w:p>
          <w:p>
            <w:pPr>
              <w:pStyle w:val="ListParagraph"/>
              <w:numPr>
                <w:ilvl w:val="0"/>
                <w:numId w:val="11"/>
              </w:numPr>
            </w:pPr>
            <w:r>
              <w:rPr>
                <w:rStyle w:val="row-content-rich-text"/>
              </w:rPr>
              <w:t xml:space="preserve">Allergy.</w:t>
            </w:r>
          </w:p>
          <w:p>
            <w:pPr>
              <w:pStyle w:val="ListParagraph"/>
              <w:numPr>
                <w:ilvl w:val="0"/>
                <w:numId w:val="11"/>
              </w:numPr>
            </w:pPr>
            <w:r>
              <w:rPr>
                <w:rStyle w:val="row-content-rich-text"/>
              </w:rPr>
              <w:t xml:space="preserve">Anti-coagulant.</w:t>
            </w:r>
          </w:p>
          <w:p>
            <w:pPr>
              <w:pStyle w:val="ListParagraph"/>
              <w:numPr>
                <w:ilvl w:val="0"/>
                <w:numId w:val="11"/>
              </w:numPr>
            </w:pPr>
            <w:r>
              <w:rPr>
                <w:rStyle w:val="row-content-rich-text"/>
              </w:rPr>
              <w:t xml:space="preserve">Clinical Measurement; include with relevant specialty clinic type where clinical measurement services are specific to a specialty (see codes 1-23) e.g. urodynamic analysis is counted with Urology (see code 15).</w:t>
            </w:r>
          </w:p>
          <w:p>
            <w:pPr>
              <w:pStyle w:val="ListParagraph"/>
              <w:numPr>
                <w:ilvl w:val="0"/>
                <w:numId w:val="11"/>
              </w:numPr>
            </w:pPr>
            <w:r>
              <w:rPr>
                <w:rStyle w:val="row-content-rich-text"/>
              </w:rPr>
              <w:t xml:space="preserve">Dementia.</w:t>
            </w:r>
          </w:p>
          <w:p>
            <w:pPr>
              <w:pStyle w:val="ListParagraph"/>
              <w:numPr>
                <w:ilvl w:val="0"/>
                <w:numId w:val="11"/>
              </w:numPr>
            </w:pPr>
            <w:r>
              <w:rPr>
                <w:rStyle w:val="row-content-rich-text"/>
              </w:rPr>
              <w:t xml:space="preserve">Dermatology.</w:t>
            </w:r>
          </w:p>
          <w:p>
            <w:pPr>
              <w:pStyle w:val="ListParagraph"/>
              <w:numPr>
                <w:ilvl w:val="0"/>
                <w:numId w:val="11"/>
              </w:numPr>
            </w:pPr>
            <w:r>
              <w:rPr>
                <w:rStyle w:val="row-content-rich-text"/>
              </w:rPr>
              <w:t xml:space="preserve">Development disability.</w:t>
            </w:r>
          </w:p>
          <w:p>
            <w:pPr>
              <w:pStyle w:val="ListParagraph"/>
              <w:numPr>
                <w:ilvl w:val="0"/>
                <w:numId w:val="11"/>
              </w:numPr>
            </w:pPr>
            <w:r>
              <w:rPr>
                <w:rStyle w:val="row-content-rich-text"/>
              </w:rPr>
              <w:t xml:space="preserve">Epilepsy.</w:t>
            </w:r>
          </w:p>
          <w:p>
            <w:pPr>
              <w:pStyle w:val="ListParagraph"/>
              <w:numPr>
                <w:ilvl w:val="0"/>
                <w:numId w:val="11"/>
              </w:numPr>
            </w:pPr>
            <w:r>
              <w:rPr>
                <w:rStyle w:val="row-content-rich-text"/>
              </w:rPr>
              <w:t xml:space="preserve">Falls.</w:t>
            </w:r>
          </w:p>
          <w:p>
            <w:pPr>
              <w:pStyle w:val="ListParagraph"/>
              <w:numPr>
                <w:ilvl w:val="0"/>
                <w:numId w:val="11"/>
              </w:numPr>
            </w:pPr>
            <w:r>
              <w:rPr>
                <w:rStyle w:val="row-content-rich-text"/>
              </w:rPr>
              <w:t xml:space="preserve">General medicine.</w:t>
            </w:r>
          </w:p>
          <w:p>
            <w:pPr>
              <w:pStyle w:val="ListParagraph"/>
              <w:numPr>
                <w:ilvl w:val="0"/>
                <w:numId w:val="11"/>
              </w:numPr>
            </w:pPr>
            <w:r>
              <w:rPr>
                <w:rStyle w:val="row-content-rich-text"/>
              </w:rPr>
              <w:t xml:space="preserve">Genetic.</w:t>
            </w:r>
          </w:p>
          <w:p>
            <w:pPr>
              <w:pStyle w:val="ListParagraph"/>
              <w:numPr>
                <w:ilvl w:val="0"/>
                <w:numId w:val="11"/>
              </w:numPr>
            </w:pPr>
            <w:r>
              <w:rPr>
                <w:rStyle w:val="row-content-rich-text"/>
              </w:rPr>
              <w:t xml:space="preserve">Haematology, haemophilia.</w:t>
            </w:r>
          </w:p>
          <w:p>
            <w:pPr>
              <w:pStyle w:val="ListParagraph"/>
              <w:numPr>
                <w:ilvl w:val="0"/>
                <w:numId w:val="11"/>
              </w:numPr>
            </w:pPr>
            <w:r>
              <w:rPr>
                <w:rStyle w:val="row-content-rich-text"/>
              </w:rPr>
              <w:t xml:space="preserve">Hepatobiliary.</w:t>
            </w:r>
          </w:p>
          <w:p>
            <w:pPr>
              <w:pStyle w:val="ListParagraph"/>
              <w:numPr>
                <w:ilvl w:val="0"/>
                <w:numId w:val="11"/>
              </w:numPr>
            </w:pPr>
            <w:r>
              <w:rPr>
                <w:rStyle w:val="row-content-rich-text"/>
              </w:rPr>
              <w:t xml:space="preserve">Hyperbaric medicine.</w:t>
            </w:r>
          </w:p>
          <w:p>
            <w:pPr>
              <w:pStyle w:val="ListParagraph"/>
              <w:numPr>
                <w:ilvl w:val="0"/>
                <w:numId w:val="11"/>
              </w:numPr>
            </w:pPr>
            <w:r>
              <w:rPr>
                <w:rStyle w:val="row-content-rich-text"/>
              </w:rPr>
              <w:t xml:space="preserve">Immunology, HIV.</w:t>
            </w:r>
          </w:p>
          <w:p>
            <w:pPr>
              <w:pStyle w:val="ListParagraph"/>
              <w:numPr>
                <w:ilvl w:val="0"/>
                <w:numId w:val="11"/>
              </w:numPr>
            </w:pPr>
            <w:r>
              <w:rPr>
                <w:rStyle w:val="row-content-rich-text"/>
              </w:rPr>
              <w:t xml:space="preserve">Infectious diseases; Communicable diseases; Hep B, C; includes tuberculosis.</w:t>
            </w:r>
          </w:p>
          <w:p>
            <w:pPr>
              <w:pStyle w:val="ListParagraph"/>
              <w:numPr>
                <w:ilvl w:val="0"/>
                <w:numId w:val="11"/>
              </w:numPr>
            </w:pPr>
            <w:r>
              <w:rPr>
                <w:rStyle w:val="row-content-rich-text"/>
              </w:rPr>
              <w:t xml:space="preserve">Men's Health.</w:t>
            </w:r>
          </w:p>
          <w:p>
            <w:pPr>
              <w:pStyle w:val="ListParagraph"/>
              <w:numPr>
                <w:ilvl w:val="0"/>
                <w:numId w:val="11"/>
              </w:numPr>
            </w:pPr>
            <w:r>
              <w:rPr>
                <w:rStyle w:val="row-content-rich-text"/>
              </w:rPr>
              <w:t xml:space="preserve">Metabolic bone.</w:t>
            </w:r>
          </w:p>
          <w:p>
            <w:pPr>
              <w:pStyle w:val="ListParagraph"/>
              <w:numPr>
                <w:ilvl w:val="0"/>
                <w:numId w:val="11"/>
              </w:numPr>
            </w:pPr>
            <w:r>
              <w:rPr>
                <w:rStyle w:val="row-content-rich-text"/>
              </w:rPr>
              <w:t xml:space="preserve">Excludes Nephrology (see code 24); excludes renal (see code 24); excludes dialysis (see code 21).</w:t>
            </w:r>
          </w:p>
          <w:p>
            <w:pPr>
              <w:pStyle w:val="ListParagraph"/>
              <w:numPr>
                <w:ilvl w:val="0"/>
                <w:numId w:val="11"/>
              </w:numPr>
            </w:pPr>
            <w:r>
              <w:rPr>
                <w:rStyle w:val="row-content-rich-text"/>
              </w:rPr>
              <w:t xml:space="preserve">Neurology, neurophysiology.</w:t>
            </w:r>
          </w:p>
          <w:p>
            <w:pPr>
              <w:pStyle w:val="ListParagraph"/>
              <w:numPr>
                <w:ilvl w:val="0"/>
                <w:numId w:val="11"/>
              </w:numPr>
            </w:pPr>
            <w:r>
              <w:rPr>
                <w:rStyle w:val="row-content-rich-text"/>
              </w:rPr>
              <w:t xml:space="preserve">Occupational medicine.</w:t>
            </w:r>
          </w:p>
          <w:p>
            <w:pPr>
              <w:pStyle w:val="ListParagraph"/>
              <w:numPr>
                <w:ilvl w:val="0"/>
                <w:numId w:val="11"/>
              </w:numPr>
            </w:pPr>
            <w:r>
              <w:rPr>
                <w:rStyle w:val="row-content-rich-text"/>
              </w:rPr>
              <w:t xml:space="preserve">Other.</w:t>
            </w:r>
          </w:p>
          <w:p>
            <w:pPr>
              <w:pStyle w:val="ListParagraph"/>
              <w:numPr>
                <w:ilvl w:val="0"/>
                <w:numId w:val="11"/>
              </w:numPr>
            </w:pPr>
            <w:r>
              <w:rPr>
                <w:rStyle w:val="row-content-rich-text"/>
              </w:rPr>
              <w:t xml:space="preserve">Pain management</w:t>
            </w:r>
          </w:p>
          <w:p>
            <w:pPr>
              <w:pStyle w:val="ListParagraph"/>
              <w:numPr>
                <w:ilvl w:val="0"/>
                <w:numId w:val="11"/>
              </w:numPr>
            </w:pPr>
            <w:r>
              <w:rPr>
                <w:rStyle w:val="row-content-rich-text"/>
              </w:rPr>
              <w:t xml:space="preserve">Palliative.</w:t>
            </w:r>
          </w:p>
          <w:p>
            <w:pPr>
              <w:pStyle w:val="ListParagraph"/>
              <w:numPr>
                <w:ilvl w:val="0"/>
                <w:numId w:val="11"/>
              </w:numPr>
            </w:pPr>
            <w:r>
              <w:rPr>
                <w:rStyle w:val="row-content-rich-text"/>
              </w:rPr>
              <w:t xml:space="preserve">Refugee clinic.</w:t>
            </w:r>
          </w:p>
          <w:p>
            <w:pPr>
              <w:pStyle w:val="ListParagraph"/>
              <w:numPr>
                <w:ilvl w:val="0"/>
                <w:numId w:val="11"/>
              </w:numPr>
            </w:pPr>
            <w:r>
              <w:rPr>
                <w:rStyle w:val="row-content-rich-text"/>
              </w:rPr>
              <w:t xml:space="preserve">Rehabilitation; excludes cardiac rehabilitation (see code 5).</w:t>
            </w:r>
          </w:p>
          <w:p>
            <w:pPr>
              <w:pStyle w:val="ListParagraph"/>
              <w:numPr>
                <w:ilvl w:val="0"/>
                <w:numId w:val="11"/>
              </w:numPr>
            </w:pPr>
            <w:r>
              <w:rPr>
                <w:rStyle w:val="row-content-rich-text"/>
              </w:rPr>
              <w:t xml:space="preserve">Rheumatology.</w:t>
            </w:r>
          </w:p>
          <w:p>
            <w:pPr>
              <w:pStyle w:val="ListParagraph"/>
              <w:numPr>
                <w:ilvl w:val="0"/>
                <w:numId w:val="11"/>
              </w:numPr>
            </w:pPr>
            <w:r>
              <w:rPr>
                <w:rStyle w:val="row-content-rich-text"/>
              </w:rPr>
              <w:t xml:space="preserve">Sexual Health.</w:t>
            </w:r>
          </w:p>
          <w:p>
            <w:pPr>
              <w:pStyle w:val="ListParagraph"/>
              <w:numPr>
                <w:ilvl w:val="0"/>
                <w:numId w:val="11"/>
              </w:numPr>
            </w:pPr>
            <w:r>
              <w:rPr>
                <w:rStyle w:val="row-content-rich-text"/>
              </w:rPr>
              <w:t xml:space="preserve">Spinal.</w:t>
            </w:r>
          </w:p>
          <w:p>
            <w:pPr>
              <w:pStyle w:val="ListParagraph"/>
              <w:numPr>
                <w:ilvl w:val="0"/>
                <w:numId w:val="11"/>
              </w:numPr>
            </w:pPr>
            <w:r>
              <w:rPr>
                <w:rStyle w:val="row-content-rich-text"/>
              </w:rPr>
              <w:t xml:space="preserve">Stoma therapy.</w:t>
            </w:r>
          </w:p>
          <w:p>
            <w:pPr>
              <w:pStyle w:val="ListParagraph"/>
              <w:numPr>
                <w:ilvl w:val="0"/>
                <w:numId w:val="11"/>
              </w:numPr>
            </w:pPr>
            <w:r>
              <w:rPr>
                <w:rStyle w:val="row-content-rich-text"/>
              </w:rPr>
              <w:t xml:space="preserve">Transplants (excludes kidney transplants see code 24).</w:t>
            </w:r>
          </w:p>
          <w:p>
            <w:pPr>
              <w:pStyle w:val="ListParagraph"/>
              <w:numPr>
                <w:ilvl w:val="0"/>
                <w:numId w:val="11"/>
              </w:numPr>
            </w:pPr>
            <w:r>
              <w:rPr>
                <w:rStyle w:val="row-content-rich-text"/>
              </w:rPr>
              <w:t xml:space="preserve">Wound, Dressing clinic.</w:t>
            </w:r>
          </w:p>
          <w:p>
            <w:pPr>
              <w:spacing w:after="160"/>
            </w:pPr>
            <w:r>
              <w:rPr>
                <w:rStyle w:val="row-content-rich-text"/>
              </w:rPr>
              <w:t xml:space="preserve">CODE 11    General practice/primary care</w:t>
            </w:r>
          </w:p>
          <w:p>
            <w:pPr>
              <w:pStyle w:val="ListParagraph"/>
              <w:numPr>
                <w:ilvl w:val="0"/>
                <w:numId w:val="12"/>
              </w:numPr>
            </w:pPr>
            <w:r>
              <w:rPr>
                <w:rStyle w:val="row-content-rich-text"/>
              </w:rPr>
              <w:t xml:space="preserve">General Practice, Primary Care.</w:t>
            </w:r>
          </w:p>
          <w:p>
            <w:pPr>
              <w:spacing w:after="160"/>
            </w:pPr>
            <w:r>
              <w:rPr>
                <w:rStyle w:val="row-content-rich-text"/>
              </w:rPr>
              <w:t xml:space="preserve">Excludes Medicare billable patients; defined specialty general practice clinics only.</w:t>
            </w:r>
          </w:p>
          <w:p>
            <w:pPr>
              <w:spacing w:after="160"/>
            </w:pPr>
            <w:r>
              <w:rPr>
                <w:rStyle w:val="row-content-rich-text"/>
              </w:rPr>
              <w:t xml:space="preserve">CODE 12    Paediatric Medical</w:t>
            </w:r>
          </w:p>
          <w:p>
            <w:pPr>
              <w:pStyle w:val="ListParagraph"/>
              <w:numPr>
                <w:ilvl w:val="0"/>
                <w:numId w:val="13"/>
              </w:numPr>
            </w:pPr>
            <w:r>
              <w:rPr>
                <w:rStyle w:val="row-content-rich-text"/>
              </w:rPr>
              <w:t xml:space="preserve">Adolescent health.</w:t>
            </w:r>
          </w:p>
          <w:p>
            <w:pPr>
              <w:pStyle w:val="ListParagraph"/>
              <w:numPr>
                <w:ilvl w:val="0"/>
                <w:numId w:val="13"/>
              </w:numPr>
            </w:pPr>
            <w:r>
              <w:rPr>
                <w:rStyle w:val="row-content-rich-text"/>
              </w:rPr>
              <w:t xml:space="preserve">Neonatology.</w:t>
            </w:r>
          </w:p>
          <w:p>
            <w:pPr>
              <w:pStyle w:val="ListParagraph"/>
              <w:numPr>
                <w:ilvl w:val="0"/>
                <w:numId w:val="13"/>
              </w:numPr>
            </w:pPr>
            <w:r>
              <w:rPr>
                <w:rStyle w:val="row-content-rich-text"/>
              </w:rPr>
              <w:t xml:space="preserve">Paediatric medicine.</w:t>
            </w:r>
          </w:p>
          <w:p>
            <w:pPr>
              <w:spacing w:after="160"/>
            </w:pPr>
            <w:r>
              <w:rPr>
                <w:rStyle w:val="row-content-rich-text"/>
              </w:rPr>
              <w:t xml:space="preserve">In paediatric hospitals the full range of service types should be used. That is, paediatric medical should be reported as medical and paediatric surgery should be reported as surgery.</w:t>
            </w:r>
          </w:p>
          <w:p>
            <w:pPr>
              <w:spacing w:after="160"/>
            </w:pPr>
            <w:r>
              <w:rPr>
                <w:rStyle w:val="row-content-rich-text"/>
              </w:rPr>
              <w:t xml:space="preserve">CODE 13    Endoscopy</w:t>
            </w:r>
          </w:p>
          <w:p>
            <w:pPr>
              <w:spacing w:after="160"/>
            </w:pPr>
            <w:r>
              <w:rPr>
                <w:rStyle w:val="row-content-rich-text"/>
              </w:rPr>
              <w:t xml:space="preserve">Includes all occasions of service for endoscopy including cystoscopy, gastroscopy, oesophagoscopy, duodenoscopy, colonoscopy, bronchoscopy, laryngoscopy and sigmoidoscopy.</w:t>
            </w:r>
          </w:p>
          <w:p>
            <w:pPr>
              <w:spacing w:after="160"/>
            </w:pPr>
            <w:r>
              <w:rPr>
                <w:rStyle w:val="row-content-rich-text"/>
              </w:rPr>
              <w:t xml:space="preserve">Care must be taken to ensure procedures for admitted patients are excluded from this category.</w:t>
            </w:r>
          </w:p>
          <w:p>
            <w:pPr>
              <w:spacing w:after="160"/>
            </w:pPr>
            <w:r>
              <w:rPr>
                <w:rStyle w:val="row-content-rich-text"/>
              </w:rPr>
              <w:t xml:space="preserve">CODE 14    Plastic surgery</w:t>
            </w:r>
          </w:p>
          <w:p>
            <w:pPr>
              <w:pStyle w:val="ListParagraph"/>
              <w:numPr>
                <w:ilvl w:val="0"/>
                <w:numId w:val="14"/>
              </w:numPr>
            </w:pPr>
            <w:r>
              <w:rPr>
                <w:rStyle w:val="row-content-rich-text"/>
              </w:rPr>
              <w:t xml:space="preserve">Craniofacial.</w:t>
            </w:r>
          </w:p>
          <w:p>
            <w:pPr>
              <w:pStyle w:val="ListParagraph"/>
              <w:numPr>
                <w:ilvl w:val="0"/>
                <w:numId w:val="14"/>
              </w:numPr>
            </w:pPr>
            <w:r>
              <w:rPr>
                <w:rStyle w:val="row-content-rich-text"/>
              </w:rPr>
              <w:t xml:space="preserve">Melanoma.</w:t>
            </w:r>
          </w:p>
          <w:p>
            <w:pPr>
              <w:pStyle w:val="ListParagraph"/>
              <w:numPr>
                <w:ilvl w:val="0"/>
                <w:numId w:val="14"/>
              </w:numPr>
            </w:pPr>
            <w:r>
              <w:rPr>
                <w:rStyle w:val="row-content-rich-text"/>
              </w:rPr>
              <w:t xml:space="preserve">Plastic surgery.</w:t>
            </w:r>
          </w:p>
          <w:p>
            <w:pPr>
              <w:spacing w:after="160"/>
            </w:pPr>
            <w:r>
              <w:rPr>
                <w:rStyle w:val="row-content-rich-text"/>
              </w:rPr>
              <w:t xml:space="preserve">CODE 15    Urology</w:t>
            </w:r>
          </w:p>
          <w:p>
            <w:pPr>
              <w:pStyle w:val="ListParagraph"/>
              <w:numPr>
                <w:ilvl w:val="0"/>
                <w:numId w:val="15"/>
              </w:numPr>
            </w:pPr>
            <w:r>
              <w:rPr>
                <w:rStyle w:val="row-content-rich-text"/>
              </w:rPr>
              <w:t xml:space="preserve">Urology.</w:t>
            </w:r>
          </w:p>
          <w:p>
            <w:pPr>
              <w:spacing w:after="160"/>
            </w:pPr>
            <w:r>
              <w:rPr>
                <w:rStyle w:val="row-content-rich-text"/>
              </w:rPr>
              <w:t xml:space="preserve">Includes urodynamic measurement and IVPs.</w:t>
            </w:r>
          </w:p>
          <w:p>
            <w:pPr>
              <w:spacing w:after="160"/>
            </w:pPr>
            <w:r>
              <w:rPr>
                <w:rStyle w:val="row-content-rich-text"/>
              </w:rPr>
              <w:t xml:space="preserve">CODE 16    Orthopaedic surgery</w:t>
            </w:r>
          </w:p>
          <w:p>
            <w:pPr>
              <w:pStyle w:val="ListParagraph"/>
              <w:numPr>
                <w:ilvl w:val="0"/>
                <w:numId w:val="16"/>
              </w:numPr>
            </w:pPr>
            <w:r>
              <w:rPr>
                <w:rStyle w:val="row-content-rich-text"/>
              </w:rPr>
              <w:t xml:space="preserve">Fracture.</w:t>
            </w:r>
          </w:p>
          <w:p>
            <w:pPr>
              <w:pStyle w:val="ListParagraph"/>
              <w:numPr>
                <w:ilvl w:val="0"/>
                <w:numId w:val="16"/>
              </w:numPr>
            </w:pPr>
            <w:r>
              <w:rPr>
                <w:rStyle w:val="row-content-rich-text"/>
              </w:rPr>
              <w:t xml:space="preserve">Hand.</w:t>
            </w:r>
          </w:p>
          <w:p>
            <w:pPr>
              <w:pStyle w:val="ListParagraph"/>
              <w:numPr>
                <w:ilvl w:val="0"/>
                <w:numId w:val="16"/>
              </w:numPr>
            </w:pPr>
            <w:r>
              <w:rPr>
                <w:rStyle w:val="row-content-rich-text"/>
              </w:rPr>
              <w:t xml:space="preserve">Orthopaedics Surgery.</w:t>
            </w:r>
          </w:p>
          <w:p>
            <w:pPr>
              <w:pStyle w:val="ListParagraph"/>
              <w:numPr>
                <w:ilvl w:val="0"/>
                <w:numId w:val="16"/>
              </w:numPr>
            </w:pPr>
            <w:r>
              <w:rPr>
                <w:rStyle w:val="row-content-rich-text"/>
              </w:rPr>
              <w:t xml:space="preserve">Other.</w:t>
            </w:r>
          </w:p>
          <w:p>
            <w:pPr>
              <w:pStyle w:val="ListParagraph"/>
              <w:numPr>
                <w:ilvl w:val="0"/>
                <w:numId w:val="16"/>
              </w:numPr>
            </w:pPr>
            <w:r>
              <w:rPr>
                <w:rStyle w:val="row-content-rich-text"/>
              </w:rPr>
              <w:t xml:space="preserve">Scoliosis.</w:t>
            </w:r>
          </w:p>
          <w:p>
            <w:pPr>
              <w:pStyle w:val="ListParagraph"/>
              <w:numPr>
                <w:ilvl w:val="0"/>
                <w:numId w:val="16"/>
              </w:numPr>
            </w:pPr>
            <w:r>
              <w:rPr>
                <w:rStyle w:val="row-content-rich-text"/>
              </w:rPr>
              <w:t xml:space="preserve">Neck of femur.</w:t>
            </w:r>
          </w:p>
          <w:p>
            <w:pPr>
              <w:spacing w:after="160"/>
            </w:pPr>
            <w:r>
              <w:rPr>
                <w:rStyle w:val="row-content-rich-text"/>
              </w:rPr>
              <w:t xml:space="preserve">CODE 17    Ophthalmology</w:t>
            </w:r>
          </w:p>
          <w:p>
            <w:pPr>
              <w:pStyle w:val="ListParagraph"/>
              <w:numPr>
                <w:ilvl w:val="0"/>
                <w:numId w:val="17"/>
              </w:numPr>
            </w:pPr>
            <w:r>
              <w:rPr>
                <w:rStyle w:val="row-content-rich-text"/>
              </w:rPr>
              <w:t xml:space="preserve">Ophthalmology.</w:t>
            </w:r>
          </w:p>
          <w:p>
            <w:pPr>
              <w:pStyle w:val="ListParagraph"/>
              <w:numPr>
                <w:ilvl w:val="0"/>
                <w:numId w:val="17"/>
              </w:numPr>
            </w:pPr>
            <w:r>
              <w:rPr>
                <w:rStyle w:val="row-content-rich-text"/>
              </w:rPr>
              <w:t xml:space="preserve">Cataract extraction.</w:t>
            </w:r>
          </w:p>
          <w:p>
            <w:pPr>
              <w:pStyle w:val="ListParagraph"/>
              <w:numPr>
                <w:ilvl w:val="0"/>
                <w:numId w:val="17"/>
              </w:numPr>
            </w:pPr>
            <w:r>
              <w:rPr>
                <w:rStyle w:val="row-content-rich-text"/>
              </w:rPr>
              <w:t xml:space="preserve">Lens insertion.</w:t>
            </w:r>
          </w:p>
          <w:p>
            <w:pPr>
              <w:spacing w:after="160"/>
            </w:pPr>
            <w:r>
              <w:rPr>
                <w:rStyle w:val="row-content-rich-text"/>
              </w:rPr>
              <w:t xml:space="preserve">CODE 18    Ear, nose and throat</w:t>
            </w:r>
          </w:p>
          <w:p>
            <w:pPr>
              <w:pStyle w:val="ListParagraph"/>
              <w:numPr>
                <w:ilvl w:val="0"/>
                <w:numId w:val="18"/>
              </w:numPr>
            </w:pPr>
            <w:r>
              <w:rPr>
                <w:rStyle w:val="row-content-rich-text"/>
              </w:rPr>
              <w:t xml:space="preserve">Ear, nose and throat.</w:t>
            </w:r>
          </w:p>
          <w:p>
            <w:pPr>
              <w:pStyle w:val="ListParagraph"/>
              <w:numPr>
                <w:ilvl w:val="0"/>
                <w:numId w:val="18"/>
              </w:numPr>
            </w:pPr>
            <w:r>
              <w:rPr>
                <w:rStyle w:val="row-content-rich-text"/>
              </w:rPr>
              <w:t xml:space="preserve">Otitis media.</w:t>
            </w:r>
          </w:p>
          <w:p>
            <w:pPr>
              <w:pStyle w:val="ListParagraph"/>
              <w:numPr>
                <w:ilvl w:val="0"/>
                <w:numId w:val="18"/>
              </w:numPr>
            </w:pPr>
            <w:r>
              <w:rPr>
                <w:rStyle w:val="row-content-rich-text"/>
              </w:rPr>
              <w:t xml:space="preserve">Oral.</w:t>
            </w:r>
          </w:p>
          <w:p>
            <w:pPr>
              <w:spacing w:after="160"/>
            </w:pPr>
            <w:r>
              <w:rPr>
                <w:rStyle w:val="row-content-rich-text"/>
              </w:rPr>
              <w:t xml:space="preserve">CODE 19    Pre-admission and pre-anaesthesia</w:t>
            </w:r>
          </w:p>
          <w:p>
            <w:pPr>
              <w:pStyle w:val="ListParagraph"/>
              <w:numPr>
                <w:ilvl w:val="0"/>
                <w:numId w:val="19"/>
              </w:numPr>
            </w:pPr>
            <w:r>
              <w:rPr>
                <w:rStyle w:val="row-content-rich-text"/>
              </w:rPr>
              <w:t xml:space="preserve">Pre-admission.</w:t>
            </w:r>
          </w:p>
          <w:p>
            <w:pPr>
              <w:pStyle w:val="ListParagraph"/>
              <w:numPr>
                <w:ilvl w:val="0"/>
                <w:numId w:val="19"/>
              </w:numPr>
            </w:pPr>
            <w:r>
              <w:rPr>
                <w:rStyle w:val="row-content-rich-text"/>
              </w:rPr>
              <w:t xml:space="preserve">Pre-anaesthesia.</w:t>
            </w:r>
          </w:p>
          <w:p>
            <w:pPr>
              <w:spacing w:after="160"/>
            </w:pPr>
            <w:r>
              <w:rPr>
                <w:rStyle w:val="row-content-rich-text"/>
              </w:rPr>
              <w:t xml:space="preserve">CODE 20    Chemotherapy</w:t>
            </w:r>
          </w:p>
          <w:p>
            <w:pPr>
              <w:spacing w:after="160"/>
            </w:pPr>
            <w:r>
              <w:rPr>
                <w:rStyle w:val="row-content-rich-text"/>
              </w:rPr>
              <w:t xml:space="preserve">Includes all forms of chemotherapy.</w:t>
            </w:r>
          </w:p>
          <w:p>
            <w:pPr>
              <w:spacing w:after="160"/>
            </w:pPr>
            <w:r>
              <w:rPr>
                <w:rStyle w:val="row-content-rich-text"/>
              </w:rPr>
              <w:t xml:space="preserve">CODE 21    Dialysis</w:t>
            </w:r>
          </w:p>
          <w:p>
            <w:pPr>
              <w:spacing w:after="160"/>
            </w:pPr>
            <w:r>
              <w:rPr>
                <w:rStyle w:val="row-content-rich-text"/>
              </w:rPr>
              <w:t xml:space="preserve">Dialysis and includes renal dialysis education. See code 24 for Renal medicine</w:t>
            </w:r>
          </w:p>
          <w:p>
            <w:pPr>
              <w:spacing w:after="160"/>
            </w:pPr>
            <w:r>
              <w:rPr>
                <w:rStyle w:val="row-content-rich-text"/>
              </w:rPr>
              <w:t xml:space="preserve">CODE 22    Surgery</w:t>
            </w:r>
          </w:p>
          <w:p>
            <w:pPr>
              <w:pStyle w:val="ListParagraph"/>
              <w:numPr>
                <w:ilvl w:val="0"/>
                <w:numId w:val="20"/>
              </w:numPr>
            </w:pPr>
            <w:r>
              <w:rPr>
                <w:rStyle w:val="row-content-rich-text"/>
              </w:rPr>
              <w:t xml:space="preserve">Cardiac.</w:t>
            </w:r>
          </w:p>
          <w:p>
            <w:pPr>
              <w:pStyle w:val="ListParagraph"/>
              <w:numPr>
                <w:ilvl w:val="0"/>
                <w:numId w:val="20"/>
              </w:numPr>
            </w:pPr>
            <w:r>
              <w:rPr>
                <w:rStyle w:val="row-content-rich-text"/>
              </w:rPr>
              <w:t xml:space="preserve">Vascular.</w:t>
            </w:r>
          </w:p>
          <w:p>
            <w:pPr>
              <w:pStyle w:val="ListParagraph"/>
              <w:numPr>
                <w:ilvl w:val="0"/>
                <w:numId w:val="20"/>
              </w:numPr>
            </w:pPr>
            <w:r>
              <w:rPr>
                <w:rStyle w:val="row-content-rich-text"/>
              </w:rPr>
              <w:t xml:space="preserve">Cardiac catheterisation.</w:t>
            </w:r>
          </w:p>
          <w:p>
            <w:pPr>
              <w:pStyle w:val="ListParagraph"/>
              <w:numPr>
                <w:ilvl w:val="0"/>
                <w:numId w:val="20"/>
              </w:numPr>
            </w:pPr>
            <w:r>
              <w:rPr>
                <w:rStyle w:val="row-content-rich-text"/>
              </w:rPr>
              <w:t xml:space="preserve">Colorectal.</w:t>
            </w:r>
          </w:p>
          <w:p>
            <w:pPr>
              <w:pStyle w:val="ListParagraph"/>
              <w:numPr>
                <w:ilvl w:val="0"/>
                <w:numId w:val="20"/>
              </w:numPr>
            </w:pPr>
            <w:r>
              <w:rPr>
                <w:rStyle w:val="row-content-rich-text"/>
              </w:rPr>
              <w:t xml:space="preserve">Upper GI surgery.</w:t>
            </w:r>
          </w:p>
          <w:p>
            <w:pPr>
              <w:pStyle w:val="ListParagraph"/>
              <w:numPr>
                <w:ilvl w:val="0"/>
                <w:numId w:val="20"/>
              </w:numPr>
            </w:pPr>
            <w:r>
              <w:rPr>
                <w:rStyle w:val="row-content-rich-text"/>
              </w:rPr>
              <w:t xml:space="preserve">General surgery.</w:t>
            </w:r>
          </w:p>
          <w:p>
            <w:pPr>
              <w:pStyle w:val="ListParagraph"/>
              <w:numPr>
                <w:ilvl w:val="0"/>
                <w:numId w:val="20"/>
              </w:numPr>
            </w:pPr>
            <w:r>
              <w:rPr>
                <w:rStyle w:val="row-content-rich-text"/>
              </w:rPr>
              <w:t xml:space="preserve">Neurosurgery.</w:t>
            </w:r>
          </w:p>
          <w:p>
            <w:pPr>
              <w:pStyle w:val="ListParagraph"/>
              <w:numPr>
                <w:ilvl w:val="0"/>
                <w:numId w:val="20"/>
              </w:numPr>
            </w:pPr>
            <w:r>
              <w:rPr>
                <w:rStyle w:val="row-content-rich-text"/>
              </w:rPr>
              <w:t xml:space="preserve">Other surgery.</w:t>
            </w:r>
          </w:p>
          <w:p>
            <w:pPr>
              <w:pStyle w:val="ListParagraph"/>
              <w:numPr>
                <w:ilvl w:val="0"/>
                <w:numId w:val="20"/>
              </w:numPr>
            </w:pPr>
            <w:r>
              <w:rPr>
                <w:rStyle w:val="row-content-rich-text"/>
              </w:rPr>
              <w:t xml:space="preserve">Thoracic surgery.</w:t>
            </w:r>
          </w:p>
          <w:p>
            <w:pPr>
              <w:spacing w:after="160"/>
            </w:pPr>
            <w:r>
              <w:rPr>
                <w:rStyle w:val="row-content-rich-text"/>
              </w:rPr>
              <w:t xml:space="preserve">CODE 23    Paediatric surgery</w:t>
            </w:r>
          </w:p>
          <w:p>
            <w:pPr>
              <w:spacing w:after="160"/>
            </w:pPr>
            <w:r>
              <w:rPr>
                <w:rStyle w:val="row-content-rich-text"/>
              </w:rPr>
              <w:t xml:space="preserve">In paediatric hospitals the full range of service types should be used. That is, paediatric medical should be reported as medical and paediatric surgery should be reported as surgery.</w:t>
            </w:r>
          </w:p>
          <w:p>
            <w:pPr>
              <w:spacing w:after="160"/>
            </w:pPr>
            <w:r>
              <w:rPr>
                <w:rStyle w:val="row-content-rich-text"/>
              </w:rPr>
              <w:t xml:space="preserve">CODE 24    Renal Medical</w:t>
            </w:r>
          </w:p>
          <w:p>
            <w:pPr>
              <w:pStyle w:val="ListParagraph"/>
              <w:numPr>
                <w:ilvl w:val="0"/>
                <w:numId w:val="21"/>
              </w:numPr>
            </w:pPr>
            <w:r>
              <w:rPr>
                <w:rStyle w:val="row-content-rich-text"/>
              </w:rPr>
              <w:t xml:space="preserve">Renal Medicine.</w:t>
            </w:r>
          </w:p>
          <w:p>
            <w:pPr>
              <w:pStyle w:val="ListParagraph"/>
              <w:numPr>
                <w:ilvl w:val="0"/>
                <w:numId w:val="21"/>
              </w:numPr>
            </w:pPr>
            <w:r>
              <w:rPr>
                <w:rStyle w:val="row-content-rich-text"/>
              </w:rPr>
              <w:t xml:space="preserve">Nephrology.</w:t>
            </w:r>
          </w:p>
          <w:p>
            <w:pPr>
              <w:pStyle w:val="ListParagraph"/>
              <w:numPr>
                <w:ilvl w:val="0"/>
                <w:numId w:val="21"/>
              </w:numPr>
            </w:pPr>
            <w:r>
              <w:rPr>
                <w:rStyle w:val="row-content-rich-text"/>
              </w:rPr>
              <w:t xml:space="preserve">Includes pre and post transplant treatment, support and education.</w:t>
            </w:r>
          </w:p>
          <w:p>
            <w:pPr>
              <w:pStyle w:val="ListParagraph"/>
              <w:numPr>
                <w:ilvl w:val="0"/>
                <w:numId w:val="21"/>
              </w:numPr>
            </w:pPr>
            <w:r>
              <w:rPr>
                <w:rStyle w:val="row-content-rich-text"/>
              </w:rPr>
              <w:t xml:space="preserve">Excludes dialysis and renal dialysis education. See code 21.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Centre for Classification in Health consultant's report to Outpatients National Minimum Data Set Development Working Group, September 2004.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Does not include services provided through community health settings (such as community and child health centres).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NAP NMDS (Phase 1) working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707409164dc64c93">
              <w:r>
                <w:rPr>
                  <w:rStyle w:val="Hyperlink"/>
                </w:rPr>
                <w:t xml:space="preserve">Clinic—outpatient clinic tier 1 type, code NNN.NNN</w:t>
              </w:r>
            </w:hyperlink>
          </w:p>
          <w:p>
            <w:pPr>
              <w:spacing w:before="0" w:after="0"/>
            </w:pPr>
            <w:r>
              <w:rPr>
                <w:rStyle w:val="row-content"/>
                <w:color w:val="244061"/>
              </w:rPr>
              <w:t xml:space="preserve">       </w:t>
            </w:r>
            <w:hyperlink w:history="true" r:id="Rbdefb7c466c6425c">
              <w:r>
                <w:rPr>
                  <w:rStyle w:val="Hyperlink"/>
                  <w:color w:val="244061"/>
                </w:rPr>
                <w:t xml:space="preserve">WA Health</w:t>
              </w:r>
            </w:hyperlink>
            <w:r>
              <w:rPr>
                <w:rStyle w:val="row-content"/>
                <w:color w:val="244061"/>
              </w:rPr>
              <w:t xml:space="preserve">, Standard 19/03/2015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5cd32f9fc3241ee">
              <w:r>
                <w:rPr>
                  <w:rStyle w:val="Hyperlink"/>
                </w:rPr>
                <w:t xml:space="preserve">Activity based funding: Non-admitted patient care DSS 2013-2014</w:t>
              </w:r>
            </w:hyperlink>
          </w:p>
          <w:p>
            <w:pPr>
              <w:spacing w:before="0" w:after="0"/>
            </w:pPr>
            <w:r>
              <w:rPr>
                <w:rStyle w:val="row-content"/>
                <w:color w:val="244061"/>
              </w:rPr>
              <w:t xml:space="preserve">       </w:t>
            </w:r>
            <w:hyperlink w:history="true" r:id="R920f65d8f3a9484d">
              <w:r>
                <w:rPr>
                  <w:rStyle w:val="Hyperlink"/>
                  <w:color w:val="244061"/>
                </w:rPr>
                <w:t xml:space="preserve">Independent Hospital Pricing Authority</w:t>
              </w:r>
            </w:hyperlink>
            <w:r>
              <w:rPr>
                <w:rStyle w:val="row-content"/>
                <w:color w:val="244061"/>
              </w:rPr>
              <w:t xml:space="preserve">, Superseded 01/03/2013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57c8076379b74d96">
              <w:r>
                <w:rPr>
                  <w:rStyle w:val="Hyperlink"/>
                </w:rPr>
                <w:t xml:space="preserve">Non-admitted patient activity based funding DSS 2012-2013</w:t>
              </w:r>
            </w:hyperlink>
          </w:p>
          <w:p>
            <w:pPr>
              <w:spacing w:before="0" w:after="0"/>
            </w:pPr>
            <w:r>
              <w:rPr>
                <w:rStyle w:val="row-content"/>
                <w:color w:val="244061"/>
              </w:rPr>
              <w:t xml:space="preserve">       </w:t>
            </w:r>
            <w:hyperlink w:history="true" r:id="R4b38881bbb3143e7">
              <w:r>
                <w:rPr>
                  <w:rStyle w:val="Hyperlink"/>
                  <w:color w:val="244061"/>
                </w:rPr>
                <w:t xml:space="preserve">Independent Hospital Pricing Authority</w:t>
              </w:r>
            </w:hyperlink>
            <w:r>
              <w:rPr>
                <w:rStyle w:val="row-content"/>
                <w:color w:val="244061"/>
              </w:rPr>
              <w:t xml:space="preserve">, Superseded 30/10/2012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159e96dbab504d99">
              <w:r>
                <w:rPr>
                  <w:rStyle w:val="Hyperlink"/>
                </w:rPr>
                <w:t xml:space="preserve">Non-admitted patient DSS 2011-12</w:t>
              </w:r>
            </w:hyperlink>
          </w:p>
          <w:p>
            <w:pPr>
              <w:spacing w:before="0" w:after="0"/>
            </w:pPr>
            <w:r>
              <w:rPr>
                <w:rStyle w:val="row-content"/>
                <w:color w:val="244061"/>
              </w:rPr>
              <w:t xml:space="preserve">       </w:t>
            </w:r>
            <w:hyperlink w:history="true" r:id="Rd6248212a7f344c7">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299f2fa128254fb3">
              <w:r>
                <w:rPr>
                  <w:rStyle w:val="Hyperlink"/>
                </w:rPr>
                <w:t xml:space="preserve">Non-admitted patient DSS 2012-13</w:t>
              </w:r>
            </w:hyperlink>
          </w:p>
          <w:p>
            <w:pPr>
              <w:spacing w:before="0" w:after="0"/>
            </w:pPr>
            <w:r>
              <w:rPr>
                <w:rStyle w:val="row-content"/>
                <w:color w:val="244061"/>
              </w:rPr>
              <w:t xml:space="preserve">       </w:t>
            </w:r>
            <w:hyperlink w:history="true" r:id="R3eb8c0dfe5a94bf2">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3bcab0d8d8704320">
              <w:r>
                <w:rPr>
                  <w:rStyle w:val="Hyperlink"/>
                </w:rPr>
                <w:t xml:space="preserve">Non-admitted patient DSS 2013-14</w:t>
              </w:r>
            </w:hyperlink>
          </w:p>
          <w:p>
            <w:pPr>
              <w:spacing w:before="0" w:after="0"/>
            </w:pPr>
            <w:r>
              <w:rPr>
                <w:rStyle w:val="row-content"/>
                <w:color w:val="244061"/>
              </w:rPr>
              <w:t xml:space="preserve">       </w:t>
            </w:r>
            <w:hyperlink w:history="true" r:id="R6df58fdcc2704e48">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6915951e2d2e4b56">
              <w:r>
                <w:rPr>
                  <w:rStyle w:val="Hyperlink"/>
                </w:rPr>
                <w:t xml:space="preserve">Non-admitted patient DSS 2014-15</w:t>
              </w:r>
            </w:hyperlink>
          </w:p>
          <w:p>
            <w:pPr>
              <w:spacing w:before="0" w:after="0"/>
            </w:pPr>
            <w:r>
              <w:rPr>
                <w:rStyle w:val="row-content"/>
                <w:color w:val="244061"/>
              </w:rPr>
              <w:t xml:space="preserve">       </w:t>
            </w:r>
            <w:hyperlink w:history="true" r:id="Rdb1525c2eda04008">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p>
          <w:p>
            <w:r>
              <w:rPr>
                <w:rStyle w:val="row-content"/>
                <w:b/>
                <w:i/>
              </w:rPr>
              <w:t xml:space="preserve">Implementation end date: </w:t>
            </w:r>
            <w:r>
              <w:rPr>
                <w:rStyle w:val="row-content"/>
              </w:rPr>
              <w:t xml:space="preserve">30/06/2015</w:t>
            </w:r>
            <w:r>
              <w:br/>
            </w:r>
            <w:r>
              <w:br/>
            </w:r>
          </w:p>
        </w:tc>
      </w:tr>
    </w:tbl>
    <w:p/>
    <w:tbl>
      <w:tblPr>
        <w:tblStyle w:val="TableGrid"/>
        <w:tblW w:w="0" w:type="auto"/>
      </w:tblPr>
    </w:tbl>
    <w:p>
      <w:r>
        <w:br/>
      </w:r>
    </w:p>
    <w:sectPr>
      <w:footerReference xmlns:r="http://schemas.openxmlformats.org/officeDocument/2006/relationships" w:type="default" r:id="R0edf1e43d61849c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400598</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1f53397fe5d423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edf1e43d61849ce" /><Relationship Type="http://schemas.openxmlformats.org/officeDocument/2006/relationships/header" Target="/word/header1.xml" Id="R8602c983fc314f5c" /><Relationship Type="http://schemas.openxmlformats.org/officeDocument/2006/relationships/settings" Target="/word/settings.xml" Id="R2b5c7584a7af4945" /><Relationship Type="http://schemas.openxmlformats.org/officeDocument/2006/relationships/styles" Target="/word/styles.xml" Id="R4bfdc8633c274073" /><Relationship Type="http://schemas.openxmlformats.org/officeDocument/2006/relationships/hyperlink" Target="https://meteor.aihw.gov.au/RegistrationAuthority/12" TargetMode="External" Id="Rea3e143b5fa74b40" /><Relationship Type="http://schemas.openxmlformats.org/officeDocument/2006/relationships/hyperlink" Target="https://meteor.aihw.gov.au/RegistrationAuthority/3" TargetMode="External" Id="R0feba98653be49a8" /><Relationship Type="http://schemas.openxmlformats.org/officeDocument/2006/relationships/hyperlink" Target="https://meteor.aihw.gov.au/content/400596" TargetMode="External" Id="R1f0ea4dbfae04369" /><Relationship Type="http://schemas.openxmlformats.org/officeDocument/2006/relationships/hyperlink" Target="https://meteor.aihw.gov.au/content/336973" TargetMode="External" Id="R50f916fddf3749aa" /><Relationship Type="http://schemas.openxmlformats.org/officeDocument/2006/relationships/numbering" Target="/word/numbering.xml" Id="Rf4c6668353a94e45" /><Relationship Type="http://schemas.openxmlformats.org/officeDocument/2006/relationships/hyperlink" Target="https://meteor.aihw.gov.au/content/564885" TargetMode="External" Id="R707409164dc64c93" /><Relationship Type="http://schemas.openxmlformats.org/officeDocument/2006/relationships/hyperlink" Target="https://meteor.aihw.gov.au/RegistrationAuthority/2" TargetMode="External" Id="Rbdefb7c466c6425c" /><Relationship Type="http://schemas.openxmlformats.org/officeDocument/2006/relationships/hyperlink" Target="https://meteor.aihw.gov.au/content/497531" TargetMode="External" Id="R05cd32f9fc3241ee" /><Relationship Type="http://schemas.openxmlformats.org/officeDocument/2006/relationships/hyperlink" Target="https://meteor.aihw.gov.au/RegistrationAuthority/3" TargetMode="External" Id="R920f65d8f3a9484d" /><Relationship Type="http://schemas.openxmlformats.org/officeDocument/2006/relationships/hyperlink" Target="https://meteor.aihw.gov.au/content/453284" TargetMode="External" Id="R57c8076379b74d96" /><Relationship Type="http://schemas.openxmlformats.org/officeDocument/2006/relationships/hyperlink" Target="https://meteor.aihw.gov.au/RegistrationAuthority/3" TargetMode="External" Id="R4b38881bbb3143e7" /><Relationship Type="http://schemas.openxmlformats.org/officeDocument/2006/relationships/hyperlink" Target="https://meteor.aihw.gov.au/content/399390" TargetMode="External" Id="R159e96dbab504d99" /><Relationship Type="http://schemas.openxmlformats.org/officeDocument/2006/relationships/hyperlink" Target="https://meteor.aihw.gov.au/RegistrationAuthority/12" TargetMode="External" Id="Rd6248212a7f344c7" /><Relationship Type="http://schemas.openxmlformats.org/officeDocument/2006/relationships/hyperlink" Target="https://meteor.aihw.gov.au/content/471846" TargetMode="External" Id="R299f2fa128254fb3" /><Relationship Type="http://schemas.openxmlformats.org/officeDocument/2006/relationships/hyperlink" Target="https://meteor.aihw.gov.au/RegistrationAuthority/12" TargetMode="External" Id="R3eb8c0dfe5a94bf2" /><Relationship Type="http://schemas.openxmlformats.org/officeDocument/2006/relationships/hyperlink" Target="https://meteor.aihw.gov.au/content/509071" TargetMode="External" Id="R3bcab0d8d8704320" /><Relationship Type="http://schemas.openxmlformats.org/officeDocument/2006/relationships/hyperlink" Target="https://meteor.aihw.gov.au/RegistrationAuthority/12" TargetMode="External" Id="R6df58fdcc2704e48" /><Relationship Type="http://schemas.openxmlformats.org/officeDocument/2006/relationships/hyperlink" Target="https://meteor.aihw.gov.au/content/548176" TargetMode="External" Id="R6915951e2d2e4b56" /><Relationship Type="http://schemas.openxmlformats.org/officeDocument/2006/relationships/hyperlink" Target="https://meteor.aihw.gov.au/RegistrationAuthority/12" TargetMode="External" Id="Rdb1525c2eda04008" /></Relationships>
</file>

<file path=word/_rels/header1.xml.rels>&#65279;<?xml version="1.0" encoding="utf-8"?><Relationships xmlns="http://schemas.openxmlformats.org/package/2006/relationships"><Relationship Type="http://schemas.openxmlformats.org/officeDocument/2006/relationships/image" Target="/media/image.png" Id="R01f53397fe5d423d" /></Relationships>
</file>