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de4c8a3b5a447b" /></Relationships>
</file>

<file path=word/document.xml><?xml version="1.0" encoding="utf-8"?>
<w:document xmlns:r="http://schemas.openxmlformats.org/officeDocument/2006/relationships" xmlns:w="http://schemas.openxmlformats.org/wordprocessingml/2006/main">
  <w:body>
    <w:p>
      <w:pPr>
        <w:pStyle w:val="Title"/>
      </w:pPr>
      <w:r>
        <w:t>Non-admitted patient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f38cc8fce49c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(DSS)(Phase 1) is outpatient clinic service events involving non-admitted patients at public hospitals classified as either principal referral, and specialist women’s and children’s hospitals or large hospitals (Peer Group A or B) as reported in the Australian Institute of Health and Welfare’s Australian Hospital Statistics publication of 2008-09.</w:t>
            </w:r>
          </w:p>
          <w:p>
            <w:pPr>
              <w:spacing w:after="160"/>
            </w:pPr>
            <w:r>
              <w:rPr>
                <w:rStyle w:val="row-content-rich-text"/>
              </w:rPr>
              <w:t xml:space="preserve">The Non-admitted patient (NAP)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are included in the DSS, except specialised mental health and alcohol and other drug treatment services which are included in separate NMDSs noted below.</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w:t>
            </w:r>
            <w:r>
              <w:rPr>
                <w:rStyle w:val="row-content-rich-text"/>
                <w:b/>
              </w:rPr>
              <w:t xml:space="preserve">regardless of setting or mode</w:t>
            </w:r>
          </w:p>
          <w:p>
            <w:pPr>
              <w:spacing w:after="160"/>
            </w:pPr>
            <w:r>
              <w:rPr>
                <w:rStyle w:val="row-content-rich-text"/>
                <w:b/>
              </w:rPr>
              <w:t xml:space="preserve">Excluded from scope in Phase 1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All outpatient service events delivered by private specialist services</w:t>
            </w:r>
            <w:r>
              <w:rPr>
                <w:rStyle w:val="row-content-rich-text"/>
              </w:rPr>
              <w:t xml:space="preserve"> under private practice arrangements; </w:t>
            </w:r>
          </w:p>
          <w:p>
            <w:pPr>
              <w:pStyle w:val="ListParagraph"/>
              <w:numPr>
                <w:ilvl w:val="0"/>
                <w:numId w:val="3"/>
              </w:numPr>
            </w:pPr>
            <w:r>
              <w:rPr>
                <w:rStyle w:val="row-content-rich-text"/>
                <w:b/>
              </w:rPr>
              <w:t xml:space="preserve">Service </w:t>
            </w:r>
            <w:r>
              <w:rPr>
                <w:rStyle w:val="row-content-rich-text"/>
                <w:b/>
              </w:rPr>
              <w:t xml:space="preserve">events</w:t>
            </w:r>
            <w:r>
              <w:rPr>
                <w:rStyle w:val="row-content-rich-text"/>
              </w:rPr>
              <w:t xml:space="preserve"> funded by the hospital but </w:t>
            </w:r>
            <w:r>
              <w:rPr>
                <w:rStyle w:val="row-content-rich-text"/>
                <w:b/>
              </w:rPr>
              <w:t xml:space="preserve">delivered by another entity</w:t>
            </w:r>
            <w:r>
              <w:rPr>
                <w:rStyle w:val="row-content-rich-text"/>
              </w:rPr>
              <w:t xml:space="preserve"> (including community health service, NGOs and private hospitals);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w:t>
            </w:r>
          </w:p>
          <w:p>
            <w:pPr>
              <w:pStyle w:val="ListParagraph"/>
              <w:numPr>
                <w:ilvl w:val="0"/>
                <w:numId w:val="3"/>
              </w:numPr>
            </w:pPr>
            <w:r>
              <w:rPr>
                <w:rStyle w:val="row-content-rich-text"/>
                <w:b/>
              </w:rPr>
              <w:t xml:space="preserve">Diagnostic imaging, pathology, pharmacy and other ancillary services</w:t>
            </w:r>
            <w:r>
              <w:rPr>
                <w:rStyle w:val="row-content-rich-text"/>
              </w:rPr>
              <w:t xml:space="preserve"> whether they are </w:t>
            </w:r>
            <w:r>
              <w:rPr>
                <w:rStyle w:val="row-content-rich-text"/>
                <w:b/>
              </w:rPr>
              <w:t xml:space="preserve">associated with an outpatient clinic service event</w:t>
            </w:r>
            <w:r>
              <w:rPr>
                <w:rStyle w:val="row-content-rich-text"/>
              </w:rPr>
              <w:t xml:space="preserve"> or </w:t>
            </w:r>
            <w:r>
              <w:rPr>
                <w:rStyle w:val="row-content-rich-text"/>
                <w:b/>
              </w:rPr>
              <w:t xml:space="preserve">provided independently</w:t>
            </w:r>
            <w:r>
              <w:rPr>
                <w:rStyle w:val="row-content-rich-text"/>
              </w:rPr>
              <w:t xml:space="preserve"> of an outpatient clinic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aacc4888b314ce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2f72252b7c4a1b">
              <w:r>
                <w:rPr>
                  <w:rStyle w:val="Hyperlink"/>
                </w:rPr>
                <w:t xml:space="preserve">Non-admitted patient DSS 2012-13</w:t>
              </w:r>
            </w:hyperlink>
          </w:p>
          <w:p>
            <w:pPr>
              <w:spacing w:before="0" w:after="0"/>
            </w:pPr>
            <w:r>
              <w:rPr>
                <w:rStyle w:val="row-content"/>
                <w:color w:val="244061"/>
              </w:rPr>
              <w:t xml:space="preserve">       </w:t>
            </w:r>
            <w:hyperlink w:history="true" r:id="R513e9717c5624aa0">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57f98038940d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97ac95f2c4b53">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f2a5cc708e4835">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132d95da004885">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a7435341d4274">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a313645cb244fc">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71808ea80840cc">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d5e1eaf384820">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a2a594949431b">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3a57d9eb846c4">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2f541514746f1">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3e057f4e34941">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4b9603fb3409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206c8485fa448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09003f21e453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0e4ceb552463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53de01f60aa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399390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d8e8fd10d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de01f60aa48b1" /><Relationship Type="http://schemas.openxmlformats.org/officeDocument/2006/relationships/header" Target="/word/header1.xml" Id="R847a0b2403154b9e" /><Relationship Type="http://schemas.openxmlformats.org/officeDocument/2006/relationships/settings" Target="/word/settings.xml" Id="R9c83bd8e7e3b4f7a" /><Relationship Type="http://schemas.openxmlformats.org/officeDocument/2006/relationships/styles" Target="/word/styles.xml" Id="R2dcf8ae4e45d4974" /><Relationship Type="http://schemas.openxmlformats.org/officeDocument/2006/relationships/hyperlink" Target="https://meteor.aihw.gov.au/RegistrationAuthority/12" TargetMode="External" Id="R887f38cc8fce49ca" /><Relationship Type="http://schemas.openxmlformats.org/officeDocument/2006/relationships/numbering" Target="/word/numbering.xml" Id="R5791406f751c4104" /><Relationship Type="http://schemas.openxmlformats.org/officeDocument/2006/relationships/hyperlink" Target="https://meteor.aihw.gov.au/content/400604" TargetMode="External" Id="Raaacc4888b314ce2" /><Relationship Type="http://schemas.openxmlformats.org/officeDocument/2006/relationships/hyperlink" Target="https://meteor.aihw.gov.au/content/471846" TargetMode="External" Id="Re12f72252b7c4a1b" /><Relationship Type="http://schemas.openxmlformats.org/officeDocument/2006/relationships/hyperlink" Target="https://meteor.aihw.gov.au/RegistrationAuthority/12" TargetMode="External" Id="R513e9717c5624aa0" /><Relationship Type="http://schemas.openxmlformats.org/officeDocument/2006/relationships/hyperlink" Target="https://meteor.aihw.gov.au/content/269973" TargetMode="External" Id="Rcc457f98038940db" /><Relationship Type="http://schemas.openxmlformats.org/officeDocument/2006/relationships/hyperlink" Target="https://meteor.aihw.gov.au/content/400649" TargetMode="External" Id="R71f97ac95f2c4b53" /><Relationship Type="http://schemas.openxmlformats.org/officeDocument/2006/relationships/hyperlink" Target="https://meteor.aihw.gov.au/content/400662" TargetMode="External" Id="R8ef2a5cc708e4835" /><Relationship Type="http://schemas.openxmlformats.org/officeDocument/2006/relationships/hyperlink" Target="https://meteor.aihw.gov.au/content/400598" TargetMode="External" Id="R69132d95da004885" /><Relationship Type="http://schemas.openxmlformats.org/officeDocument/2006/relationships/hyperlink" Target="https://meteor.aihw.gov.au/content/400680" TargetMode="External" Id="R732a7435341d4274" /><Relationship Type="http://schemas.openxmlformats.org/officeDocument/2006/relationships/hyperlink" Target="https://meteor.aihw.gov.au/content/400673" TargetMode="External" Id="R7da313645cb244fc" /><Relationship Type="http://schemas.openxmlformats.org/officeDocument/2006/relationships/hyperlink" Target="https://meteor.aihw.gov.au/content/410953" TargetMode="External" Id="R6a71808ea80840cc" /><Relationship Type="http://schemas.openxmlformats.org/officeDocument/2006/relationships/hyperlink" Target="https://meteor.aihw.gov.au/content/403593" TargetMode="External" Id="R3aed5e1eaf384820" /><Relationship Type="http://schemas.openxmlformats.org/officeDocument/2006/relationships/hyperlink" Target="https://meteor.aihw.gov.au/content/400713" TargetMode="External" Id="R7c2a2a594949431b" /><Relationship Type="http://schemas.openxmlformats.org/officeDocument/2006/relationships/hyperlink" Target="https://meteor.aihw.gov.au/content/400747" TargetMode="External" Id="Rdf13a57d9eb846c4" /><Relationship Type="http://schemas.openxmlformats.org/officeDocument/2006/relationships/hyperlink" Target="https://meteor.aihw.gov.au/content/426285" TargetMode="External" Id="R4db2f541514746f1" /><Relationship Type="http://schemas.openxmlformats.org/officeDocument/2006/relationships/hyperlink" Target="https://meteor.aihw.gov.au/content/370943" TargetMode="External" Id="R64d3e057f4e34941" /><Relationship Type="http://schemas.openxmlformats.org/officeDocument/2006/relationships/hyperlink" Target="https://meteor.aihw.gov.au/content/287007" TargetMode="External" Id="Rf904b9603fb34090" /><Relationship Type="http://schemas.openxmlformats.org/officeDocument/2006/relationships/hyperlink" Target="https://meteor.aihw.gov.au/content/291036" TargetMode="External" Id="R33206c8485fa4480" /><Relationship Type="http://schemas.openxmlformats.org/officeDocument/2006/relationships/hyperlink" Target="https://meteor.aihw.gov.au/content/290046" TargetMode="External" Id="R41c09003f21e453e" /><Relationship Type="http://schemas.openxmlformats.org/officeDocument/2006/relationships/hyperlink" Target="https://meteor.aihw.gov.au/content/287316" TargetMode="External" Id="R01d0e4ceb5524631" /></Relationships>
</file>

<file path=word/_rels/header1.xml.rels>&#65279;<?xml version="1.0" encoding="utf-8"?><Relationships xmlns="http://schemas.openxmlformats.org/package/2006/relationships"><Relationship Type="http://schemas.openxmlformats.org/officeDocument/2006/relationships/image" Target="/media/image.png" Id="Rf79d8e8fd10d44fc" /></Relationships>
</file>