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4225a7bcd1439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P27a-Proportion of Indigenous 20-64 year olds with or working towards a post school qualification in AQF Certificate III, IV, Diploma and Advanced Diploma (Census data), 2010 QS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P27a-Proportion of Indigenous 20-64 year olds with or working towards a post school qualification in AQF Certificate III, IV, Diploma and Advanced Diploma (Census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be286ebbb9498f">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Census and Statistics Act 1905</w:t>
            </w:r>
            <w:r>
              <w:rPr>
                <w:rStyle w:val="row-content-rich-text"/>
              </w:rPr>
              <w:t xml:space="preserve"> requires the Australian Statistician to conduct a Census on a regular basis. Since 1961 it has been conducted every five years. The 2006 Census was the 15th national Census for Australia and was held on 8 August 2006. For the 2006 Census, first release data was available on the ABS website on 27 June 2007, and second release data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extensive range of 2006 Census data is freely available from the ABS website and accessible from publications or electronic products. See Census Products for the full range. For complex and specialised requests that cannot be sourced freely online, the ABS Information Consultancy Service can provide data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To aid interpretation of Census data, a comprehensive range of reference material and information is available under Census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completed qualifications and level of qualification. While type of educational institution is collected, level of education of current study is not.</w:t>
            </w:r>
          </w:p>
          <w:p>
            <w:pPr>
              <w:spacing w:after="160"/>
            </w:pPr>
            <w:r>
              <w:rPr>
                <w:rStyle w:val="row-content-rich-text"/>
              </w:rPr>
              <w:t xml:space="preserve">Therefore, Census data for this measure includes all people aged 20–64 who are studying, irrespective of the level of education at which they are studying.</w:t>
            </w:r>
          </w:p>
          <w:p>
            <w:pPr/>
            <w:r>
              <w:rPr>
                <w:rStyle w:val="row-content-rich-text"/>
              </w:rPr>
              <w:t xml:space="preserve">In the Census, information may have been supplied by one household resident on behalf of another person. The person reporting may not know all details of the educational participation or attainment of the other. In other cases, the answer to a question is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four principal sources of error in Census data: respondent error, processing error, partial response and undercount.</w:t>
            </w:r>
          </w:p>
          <w:p>
            <w:pPr>
              <w:spacing w:after="160"/>
            </w:pPr>
            <w:r>
              <w:rPr>
                <w:rStyle w:val="row-content-rich-text"/>
              </w:rPr>
              <w:t xml:space="preserve">Results from the post-enumeration survey reveal an undercount of the Indigenous population. This undercount may introduce bias into the results which may affect comparability of estimates among jurisdictions. The net undercount for all Indigenous Australians was estimated at 11.5 per cent, calculated as the difference between the Census count of Indigenous people and the estimated Indigenous population on Census night (note that people who were counted in the Census but whose Indigenous status was not stated are included in estimates of net undercount). Estimates of the Indigenous net undercount for all jurisdictions is included below:</w:t>
            </w:r>
          </w:p>
          <w:p>
            <w:pPr>
              <w:spacing w:after="160"/>
            </w:pPr>
            <w:r>
              <w:rPr>
                <w:rStyle w:val="row-content-rich-text"/>
                <w:u w:val="single"/>
              </w:rPr>
              <w:t xml:space="preserve">Estimated Indigenous net undercount by state/territory</w:t>
            </w:r>
          </w:p>
          <w:p>
            <w:pPr>
              <w:spacing w:after="160"/>
            </w:pPr>
            <w:r>
              <w:rPr>
                <w:rStyle w:val="row-content-rich-text"/>
              </w:rPr>
              <w:t xml:space="preserve">Undercount rate %</w:t>
            </w:r>
          </w:p>
          <w:p>
            <w:pPr>
              <w:spacing w:after="160"/>
            </w:pPr>
            <w:r>
              <w:rPr>
                <w:rStyle w:val="row-content-rich-text"/>
              </w:rPr>
              <w:t xml:space="preserve">NSW 8.6</w:t>
            </w:r>
          </w:p>
          <w:p>
            <w:pPr>
              <w:spacing w:after="160"/>
            </w:pPr>
            <w:r>
              <w:rPr>
                <w:rStyle w:val="row-content-rich-text"/>
              </w:rPr>
              <w:t xml:space="preserve">Vic. 9.4</w:t>
            </w:r>
          </w:p>
          <w:p>
            <w:pPr>
              <w:spacing w:after="160"/>
            </w:pPr>
            <w:r>
              <w:rPr>
                <w:rStyle w:val="row-content-rich-text"/>
              </w:rPr>
              <w:t xml:space="preserve">Qld 11.6</w:t>
            </w:r>
          </w:p>
          <w:p>
            <w:pPr>
              <w:spacing w:after="160"/>
            </w:pPr>
            <w:r>
              <w:rPr>
                <w:rStyle w:val="row-content-rich-text"/>
              </w:rPr>
              <w:t xml:space="preserve">SA 8.6</w:t>
            </w:r>
          </w:p>
          <w:p>
            <w:pPr>
              <w:spacing w:after="160"/>
            </w:pPr>
            <w:r>
              <w:rPr>
                <w:rStyle w:val="row-content-rich-text"/>
              </w:rPr>
              <w:t xml:space="preserve">WA 16.6</w:t>
            </w:r>
          </w:p>
          <w:p>
            <w:pPr>
              <w:spacing w:after="160"/>
            </w:pPr>
            <w:r>
              <w:rPr>
                <w:rStyle w:val="row-content-rich-text"/>
              </w:rPr>
              <w:t xml:space="preserve">Tas. 8.8</w:t>
            </w:r>
          </w:p>
          <w:p>
            <w:pPr>
              <w:spacing w:after="160"/>
            </w:pPr>
            <w:r>
              <w:rPr>
                <w:rStyle w:val="row-content-rich-text"/>
              </w:rPr>
              <w:t xml:space="preserve">NT 16.0</w:t>
            </w:r>
          </w:p>
          <w:p>
            <w:pPr>
              <w:spacing w:after="160"/>
            </w:pPr>
            <w:r>
              <w:rPr>
                <w:rStyle w:val="row-content-rich-text"/>
              </w:rPr>
              <w:t xml:space="preserve">ACT 8.8</w:t>
            </w:r>
          </w:p>
          <w:p>
            <w:pPr>
              <w:spacing w:after="160"/>
            </w:pPr>
            <w:r>
              <w:rPr>
                <w:rStyle w:val="row-content-rich-text"/>
              </w:rPr>
              <w:t xml:space="preserve">Australia 11.5</w:t>
            </w:r>
          </w:p>
          <w:p>
            <w:pPr>
              <w:spacing w:after="160"/>
            </w:pPr>
            <w:r>
              <w:rPr>
                <w:rStyle w:val="row-content-rich-text"/>
              </w:rPr>
              <w:t xml:space="preserve">Source: ABS 2008 (cat no. 3238.0.55.001).</w:t>
            </w:r>
          </w:p>
          <w:p>
            <w:pPr/>
            <w:r>
              <w:rPr>
                <w:rStyle w:val="row-content-rich-text"/>
              </w:rPr>
              <w:t xml:space="preserve">The quality of information on qualifications is also affected by the level of detail provided and the ease with which responses can be coded. Quality statements for the data items are available, which include further information on non-response, see particularly: Type of Educational Institution Attended, Non-School Qualification,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Education (ASCED) has been used in all surveys with education items since 2001 and allows the education and training items between different surveys to be compared. The data items used to construct the measures in the Census, national Aboriginal and Torres Strait Islander Social Survey (NATSISS) and Survey of Education and Work (SEW) are consistent and comparable, and support assessment of change over time. While there are a range of differences between the scope, coverage, timing and collection methodologies of the collections, these issues do not affect their broad consistency for this measure.</w:t>
            </w:r>
          </w:p>
          <w:p>
            <w:pPr/>
            <w:r>
              <w:rPr>
                <w:rStyle w:val="row-content-rich-text"/>
              </w:rPr>
              <w:t xml:space="preserve">Nevertheless, different collection techniques and treatment of ‘Not Stated’ responses should be considered when comparing surveys with the Census. This indicator uses different criteria for level of qualification (Certificate III or above) in comparison with that reported in the National Educating Agreement reports (Certificate III, Certificate IV, Diploma and Advanced Diploma). Both intend to report against the same National Indigenous Reform Agreement (NIRA) indicator, but the indicator specifications were modified after the first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85978ec8e243ab">
              <w:r>
                <w:rPr>
                  <w:rStyle w:val="Hyperlink"/>
                </w:rPr>
                <w:t xml:space="preserve">National Indigenous Reform Agreement: PI 15a-Proportion of Indigenous 20-64 year olds with or working towards a post-school qualification in Certificate level III or above, (Census data) 2013 QS</w:t>
              </w:r>
            </w:hyperlink>
          </w:p>
          <w:p>
            <w:pPr>
              <w:spacing w:before="0" w:after="0"/>
            </w:pPr>
            <w:r>
              <w:rPr>
                <w:rStyle w:val="row-content"/>
                <w:color w:val="244061"/>
              </w:rPr>
              <w:t xml:space="preserve">       </w:t>
            </w:r>
            <w:hyperlink w:history="true" r:id="R6385af0438574150">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32656273a304a34">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5db89734bbc64bf2">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5cb0dfffbd1d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0ac9ba53c746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0dfffbd1d45b9" /><Relationship Type="http://schemas.openxmlformats.org/officeDocument/2006/relationships/header" Target="/word/header1.xml" Id="Rb5a60f3cc5e34d86" /><Relationship Type="http://schemas.openxmlformats.org/officeDocument/2006/relationships/settings" Target="/word/settings.xml" Id="R17837d6cc5494300" /><Relationship Type="http://schemas.openxmlformats.org/officeDocument/2006/relationships/styles" Target="/word/styles.xml" Id="R8f0d43d8258d466d" /><Relationship Type="http://schemas.openxmlformats.org/officeDocument/2006/relationships/hyperlink" Target="https://meteor.aihw.gov.au/RegistrationAuthority/1" TargetMode="External" Id="R37be286ebbb9498f" /><Relationship Type="http://schemas.openxmlformats.org/officeDocument/2006/relationships/hyperlink" Target="https://meteor.aihw.gov.au/content/523444" TargetMode="External" Id="R1985978ec8e243ab" /><Relationship Type="http://schemas.openxmlformats.org/officeDocument/2006/relationships/hyperlink" Target="https://meteor.aihw.gov.au/RegistrationAuthority/6" TargetMode="External" Id="R6385af0438574150" /><Relationship Type="http://schemas.openxmlformats.org/officeDocument/2006/relationships/hyperlink" Target="https://meteor.aihw.gov.au/content/396658" TargetMode="External" Id="Re32656273a304a34" /><Relationship Type="http://schemas.openxmlformats.org/officeDocument/2006/relationships/hyperlink" Target="https://meteor.aihw.gov.au/RegistrationAuthority/1" TargetMode="External" Id="R5db89734bbc64bf2" /></Relationships>
</file>

<file path=word/_rels/header1.xml.rels>&#65279;<?xml version="1.0" encoding="utf-8"?><Relationships xmlns="http://schemas.openxmlformats.org/package/2006/relationships"><Relationship Type="http://schemas.openxmlformats.org/officeDocument/2006/relationships/image" Target="/media/image.png" Id="Rc70ac9ba53c7464d" /></Relationships>
</file>