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6e75137644de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P26b-Proportion of Indigenous 18-24 year olds engaged in full-time employment, education or training at or above Certificate III (Survey data),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P26b-Proportion of Indigenous 18-24 year olds engaged in full-time employment, education or training at or above Certificate III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973445d314d3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labour force participation and educational participation. While the SEW collects information on the level of current study, the NATSISS only collects information on whether or not a person is studying but not by level. To maximise consistency, the measures derived from both surveys were based on all students, not just those studying for a Certificate III or above.</w:t>
            </w:r>
          </w:p>
          <w:p>
            <w:pPr/>
            <w:r>
              <w:rPr>
                <w:rStyle w:val="row-content-rich-text"/>
              </w:rPr>
              <w:t xml:space="preserve">In the SEW, information may have been supplied by one household resident on behalf of another person. The person reporting may not know all details of the participation of the other in employment or education.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 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 Nevertheless, different collection techniques and treatment of ‘Not Stated’ responses should be considered when comparing surveys with the Census.</w:t>
            </w:r>
          </w:p>
          <w:p>
            <w:pPr/>
            <w:r>
              <w:rPr>
                <w:rStyle w:val="row-content-rich-text"/>
              </w:rPr>
              <w:t xml:space="preserve">The corresponding indicator in the National Education Agreement report was also based on the 2008 SEW. Since Indigenous comparisons were not required for that indicator, the coding used available survey information to match the indicator specifications for people currently studying at Certificate III or above. As noted in Relevance (above), people studying full-time at any level were included in this National Indigenous Reform Indicator (NIRA) indicator to maximise consistency with data available from the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e3e3c295b6f4f76">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a19ccb271ec8471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06ddd16057d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3943ff7ad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ddd16057d4202" /><Relationship Type="http://schemas.openxmlformats.org/officeDocument/2006/relationships/header" Target="/word/header1.xml" Id="R67b2d8b5593e4d2b" /><Relationship Type="http://schemas.openxmlformats.org/officeDocument/2006/relationships/settings" Target="/word/settings.xml" Id="R384fc30c1629405e" /><Relationship Type="http://schemas.openxmlformats.org/officeDocument/2006/relationships/styles" Target="/word/styles.xml" Id="R0a6e41ac9f084def" /><Relationship Type="http://schemas.openxmlformats.org/officeDocument/2006/relationships/hyperlink" Target="https://meteor.aihw.gov.au/RegistrationAuthority/1" TargetMode="External" Id="Re5a973445d314d3e" /><Relationship Type="http://schemas.openxmlformats.org/officeDocument/2006/relationships/hyperlink" Target="https://meteor.aihw.gov.au/content/396915" TargetMode="External" Id="R6e3e3c295b6f4f76" /><Relationship Type="http://schemas.openxmlformats.org/officeDocument/2006/relationships/hyperlink" Target="https://meteor.aihw.gov.au/RegistrationAuthority/1" TargetMode="External" Id="Ra19ccb271ec84716" /></Relationships>
</file>

<file path=word/_rels/header1.xml.rels>&#65279;<?xml version="1.0" encoding="utf-8"?><Relationships xmlns="http://schemas.openxmlformats.org/package/2006/relationships"><Relationship Type="http://schemas.openxmlformats.org/officeDocument/2006/relationships/image" Target="/media/image.png" Id="Rabc3943ff7ad4c68" /></Relationships>
</file>