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f1fb4b89d42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P26a-Proportion of Indigenous 18-24 year olds engaged in full-time employment, education or training at or above Certificate III (Census data),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P26a-Proportion of Indigenous 18-24 year olds engaged in full-time employment, education or training at or above Certificate III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9c869d84b4be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labour force status and participation in education or training. While type of educational institution is collected, level of education of current study is not.</w:t>
            </w:r>
          </w:p>
          <w:p>
            <w:pPr>
              <w:spacing w:after="160"/>
            </w:pPr>
            <w:r>
              <w:rPr>
                <w:rStyle w:val="row-content-rich-text"/>
              </w:rPr>
              <w:t xml:space="preserve">Therefore, Census data for this measure includes all people aged 20–24 years who are studying full time, irrespective of the level of education at which they are studying.</w:t>
            </w:r>
          </w:p>
          <w:p>
            <w:pPr/>
            <w:r>
              <w:rPr>
                <w:rStyle w:val="row-content-rich-text"/>
              </w:rPr>
              <w:t xml:space="preserve">In the Census, information may have been supplied by one household resident on behalf of another person. The person reporting may not know all details of the participation of the other in employment or education.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Source: ABS 2008 (Cat no. 3238.0.55.001).</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Type of Educational Institution Attended,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Education (ASCED) has been used in all surveys with education items since 2001 and allows the education and training items between different surveys to be compared.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480e811468463f">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18a7824834cc40f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66724775666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b165f0345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7247756664276" /><Relationship Type="http://schemas.openxmlformats.org/officeDocument/2006/relationships/header" Target="/word/header1.xml" Id="R55b2025bfcc14975" /><Relationship Type="http://schemas.openxmlformats.org/officeDocument/2006/relationships/settings" Target="/word/settings.xml" Id="R461a39bfa49e4e77" /><Relationship Type="http://schemas.openxmlformats.org/officeDocument/2006/relationships/styles" Target="/word/styles.xml" Id="Rdff52c771b4e4d51" /><Relationship Type="http://schemas.openxmlformats.org/officeDocument/2006/relationships/hyperlink" Target="https://meteor.aihw.gov.au/RegistrationAuthority/1" TargetMode="External" Id="Ra6e9c869d84b4be9" /><Relationship Type="http://schemas.openxmlformats.org/officeDocument/2006/relationships/hyperlink" Target="https://meteor.aihw.gov.au/content/396647" TargetMode="External" Id="R0f480e811468463f" /><Relationship Type="http://schemas.openxmlformats.org/officeDocument/2006/relationships/hyperlink" Target="https://meteor.aihw.gov.au/RegistrationAuthority/1" TargetMode="External" Id="R18a7824834cc40f9" /></Relationships>
</file>

<file path=word/_rels/header1.xml.rels>&#65279;<?xml version="1.0" encoding="utf-8"?><Relationships xmlns="http://schemas.openxmlformats.org/package/2006/relationships"><Relationship Type="http://schemas.openxmlformats.org/officeDocument/2006/relationships/image" Target="/media/image.png" Id="Rcdbb165f03454a68" /></Relationships>
</file>