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8f1b37718d448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P18b-Proportion of 20-24 year olds having attained at least a Year 12 or equivalent AQF Certificate II (Survey Data),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P18b-Proportion of 20-24 year olds having attained at least a Year 12 or equivalent AQF Certificate II (Survey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e5124f2be4f8c">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every six years. The 2008 survey was conducted from August to April 2009. Results were released in October 2009.</w:t>
            </w:r>
          </w:p>
          <w:p>
            <w:pPr/>
            <w:r>
              <w:rPr>
                <w:rStyle w:val="row-content-rich-text"/>
              </w:rPr>
              <w:t xml:space="preserve">The Survey of Education and Work (SEW) is conducted annually in May as a supplement to the monthly Labour Force Survey. Results from the 2008 survey were released in November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Education and Work, Australia</w:t>
            </w:r>
            <w:r>
              <w:rPr>
                <w:rStyle w:val="row-content-rich-text"/>
              </w:rPr>
              <w:t xml:space="preserve"> (6227.0). This measure is released as part of a SEW Detailed Education Datacube.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2008 NATSISS User’s Guide</w:t>
            </w:r>
            <w:r>
              <w:rPr>
                <w:rStyle w:val="row-content-rich-text"/>
              </w:rPr>
              <w:t xml:space="preserve"> (4720.0) — due for release in 2010 — and </w:t>
            </w:r>
            <w:r>
              <w:rPr>
                <w:rStyle w:val="row-content-rich-text"/>
                <w:i/>
              </w:rPr>
              <w:t xml:space="preserve">Education and Work Australia</w:t>
            </w:r>
            <w:r>
              <w:rPr>
                <w:rStyle w:val="row-content-rich-text"/>
              </w:rPr>
              <w:t xml:space="preserve">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SEW, the survey sample and methodology are not designed to provide output that separately identifies Indigenous people. The SEW can, however, be used for providing non-Indigenous comparisons.</w:t>
            </w:r>
          </w:p>
          <w:p>
            <w:pPr>
              <w:spacing w:after="160"/>
            </w:pPr>
            <w:r>
              <w:rPr>
                <w:rStyle w:val="row-content-rich-text"/>
              </w:rPr>
              <w:t xml:space="preserve">The NATSISS and SEW collect information on Year 12 completion and qualifications.</w:t>
            </w:r>
          </w:p>
          <w:p>
            <w:pPr/>
            <w:r>
              <w:rPr>
                <w:rStyle w:val="row-content-rich-text"/>
              </w:rPr>
              <w:t xml:space="preserve">In the SEW, information may have been supplied by one household resident on behalf of another person. The person reporting may not know all details of the educational attainment of the other.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 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The SEW is conducted in all states and territories excluding very remote areas. This exclusion has a small impact only on national and state estimates, except for the Northern Territory, where such persons comprise over 20 per cent of the population. From 2009 the SEW will include remote areas but will exclude discrete Indigenous communities. As a consequence of this exclusion, comparisons between Indigenous and non-Indigenous people in remote areas are not available. The 2008 SEW response rate was 96 per cent.</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Finer levels of disaggregation (e.g. by the inclusion ofother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in the Census, NATSISS and SEW are consistent and comparable, and support assessment of change over time. While there are a range of differences between the scope, coverage, timing and collection methodologies of the collections, these issues do not affect their broad consistency for this measure.</w:t>
            </w:r>
          </w:p>
          <w:p>
            <w:pPr/>
            <w:r>
              <w:rPr>
                <w:rStyle w:val="row-content-rich-text"/>
              </w:rPr>
              <w:t xml:space="preserve">The Australian Standard Classification of Education (ASCED) has been used in all surveys with education items since 2001 and allows the education and training items between different surveys to be compared. Different collection techniques and treatment of ‘Not Stated’ responses should be considered when comparing surveys with the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a0c4741c6a24df2">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27ab59b056054f69">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4c960da8de7247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d1ca5197d1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960da8de724766" /><Relationship Type="http://schemas.openxmlformats.org/officeDocument/2006/relationships/header" Target="/word/header1.xml" Id="R757737e791cf46cb" /><Relationship Type="http://schemas.openxmlformats.org/officeDocument/2006/relationships/settings" Target="/word/settings.xml" Id="R23215763f8b44354" /><Relationship Type="http://schemas.openxmlformats.org/officeDocument/2006/relationships/styles" Target="/word/styles.xml" Id="Re0778a5128684808" /><Relationship Type="http://schemas.openxmlformats.org/officeDocument/2006/relationships/hyperlink" Target="https://meteor.aihw.gov.au/RegistrationAuthority/1" TargetMode="External" Id="R50ae5124f2be4f8c" /><Relationship Type="http://schemas.openxmlformats.org/officeDocument/2006/relationships/hyperlink" Target="https://meteor.aihw.gov.au/content/396896" TargetMode="External" Id="Raa0c4741c6a24df2" /><Relationship Type="http://schemas.openxmlformats.org/officeDocument/2006/relationships/hyperlink" Target="https://meteor.aihw.gov.au/RegistrationAuthority/1" TargetMode="External" Id="R27ab59b056054f69" /></Relationships>
</file>

<file path=word/_rels/header1.xml.rels>&#65279;<?xml version="1.0" encoding="utf-8"?><Relationships xmlns="http://schemas.openxmlformats.org/package/2006/relationships"><Relationship Type="http://schemas.openxmlformats.org/officeDocument/2006/relationships/image" Target="/media/image.png" Id="R06d1ca5197d1473c" /></Relationships>
</file>