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2bab43676e4a2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P24-GP-type services,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P24-GP-type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GP-type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104f29c07b4fa4">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GP-type service use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90a241f67e1491a">
              <w:r>
                <w:rPr>
                  <w:rStyle w:val="Hyperlink"/>
                </w:rPr>
                <w:t xml:space="preserve">National Healthcare Agreement (2010)</w:t>
              </w:r>
            </w:hyperlink>
          </w:p>
          <w:p>
            <w:pPr>
              <w:spacing w:before="0" w:after="0"/>
            </w:pPr>
            <w:r>
              <w:rPr>
                <w:rStyle w:val="row-content"/>
                <w:color w:val="244061"/>
              </w:rPr>
              <w:t xml:space="preserve">       </w:t>
            </w:r>
            <w:hyperlink w:history="true" r:id="Rdc236db8315e4f1a">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e71e2fd30204e6d">
              <w:r>
                <w:rPr>
                  <w:rStyle w:val="Hyperlink"/>
                </w:rPr>
                <w:t xml:space="preserve">Primary and Community Health</w:t>
              </w:r>
            </w:hyperlink>
          </w:p>
          <w:p>
            <w:pPr>
              <w:spacing w:before="0" w:after="0"/>
            </w:pPr>
            <w:r>
              <w:rPr>
                <w:rStyle w:val="row-content"/>
                <w:color w:val="244061"/>
              </w:rPr>
              <w:t xml:space="preserve">       </w:t>
            </w:r>
            <w:hyperlink w:history="true" r:id="Rf44cac73ee76487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3dc060a3226492f">
              <w:r>
                <w:rPr>
                  <w:rStyle w:val="Hyperlink"/>
                </w:rPr>
                <w:t xml:space="preserve">National Healthcare Agreement: P24-GP-type services, 2010 QS</w:t>
              </w:r>
            </w:hyperlink>
          </w:p>
          <w:p>
            <w:pPr>
              <w:spacing w:before="0" w:after="0"/>
            </w:pPr>
            <w:r>
              <w:rPr>
                <w:rStyle w:val="row-content"/>
                <w:color w:val="244061"/>
              </w:rPr>
              <w:t xml:space="preserve">       </w:t>
            </w:r>
            <w:hyperlink w:history="true" r:id="Rb6f6e1c7732a493a">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GP/VRGP non-referred attendances; Enhanced primary care; Practice nurse services; Other non-referred attendances</w:t>
            </w:r>
          </w:p>
          <w:p>
            <w:pPr>
              <w:spacing w:after="160"/>
            </w:pPr>
            <w:r>
              <w:rPr>
                <w:rStyle w:val="row-content-rich-text"/>
              </w:rPr>
              <w:t xml:space="preserve">The definition of non-referred (GP) attendances is kept consistent with Medical Benefits Schedule (MBS) classifications. GP-type services are defined by MBS items under broad type of services groups A, B, M and O.</w:t>
            </w:r>
          </w:p>
          <w:p>
            <w:pPr>
              <w:spacing w:after="160"/>
            </w:pPr>
            <w:r>
              <w:rPr>
                <w:rStyle w:val="row-content-rich-text"/>
              </w:rPr>
              <w:t xml:space="preserve">Presented per 1,000 population.</w:t>
            </w:r>
          </w:p>
          <w:p>
            <w:pPr/>
            <w:r>
              <w:rPr>
                <w:rStyle w:val="row-content-rich-text"/>
              </w:rPr>
              <w:t xml:space="preserve">Rates are directly age-standardised to the Australian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non-referred (GP) attendances claimed through the 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MBS broad type of services groups</w:t>
            </w:r>
          </w:p>
          <w:p>
            <w:r>
              <w:rPr>
                <w:rStyle w:val="row-content"/>
                <w:b/>
              </w:rPr>
              <w:t xml:space="preserve">Data Source</w:t>
            </w:r>
          </w:p>
          <w:p>
            <w:hyperlink w:history="true" r:id="Rd1cc940408b64111">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a0183a6855e4f5f">
              <w:r>
                <w:rPr>
                  <w:rStyle w:val="Hyperlink"/>
                </w:rPr>
                <w:t xml:space="preserve">Person—government funding identifier, Medicare card number N(11)</w:t>
              </w:r>
            </w:hyperlink>
          </w:p>
          <w:p>
            <w:r>
              <w:rPr>
                <w:rStyle w:val="row-content"/>
                <w:b/>
              </w:rPr>
              <w:t xml:space="preserve">Data Source</w:t>
            </w:r>
          </w:p>
          <w:p>
            <w:hyperlink w:history="true" r:id="R01b86651b54b4482">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20ddeacefdc84d8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40b680a3844b4043">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(of residence of patient): by Indigenous status, remoteness area and SEIFA of residence.</w:t>
            </w:r>
          </w:p>
          <w:p>
            <w:pPr>
              <w:spacing w:after="160"/>
            </w:pPr>
            <w:r>
              <w:rPr>
                <w:rStyle w:val="row-content-rich-text"/>
              </w:rPr>
              <w:t xml:space="preserve">Available disaggregation: Nationally and by state/territory (of residence of patient): by remoteness area and SEIFA of residence.</w:t>
            </w:r>
          </w:p>
          <w:p>
            <w:pPr>
              <w:spacing w:after="160"/>
            </w:pPr>
            <w:r>
              <w:rPr>
                <w:rStyle w:val="row-content-rich-text"/>
              </w:rPr>
              <w:t xml:space="preserve">Data for 2008-09 will be available in 2009.</w:t>
            </w:r>
          </w:p>
          <w:p>
            <w:pPr/>
            <w:r>
              <w:rPr>
                <w:rStyle w:val="row-content-rich-text"/>
              </w:rPr>
              <w:t xml:space="preserve">Most recent data available for 2010 CRC baseline report: 2008-09 with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ee93bc909594615">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f3662fdadc542f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7e75248aaa54b4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9f948e0ca5a40db">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Work needs to continue to improve the Voluntary Indigenous Identifier (VII) in the Medicare database. This includes the development of an adjustment factor using data from a currently available sample.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item numbers change over time and need to be updated as required.</w:t>
            </w:r>
          </w:p>
          <w:p>
            <w:pPr>
              <w:spacing w:after="160"/>
            </w:pPr>
            <w:r>
              <w:rPr>
                <w:rStyle w:val="row-content-rich-text"/>
              </w:rPr>
              <w:t xml:space="preserve">Disaggregations within individual jurisdictions are subject to data quality considerations.</w:t>
            </w:r>
          </w:p>
          <w:p>
            <w:pPr>
              <w:spacing w:after="160"/>
            </w:pPr>
            <w:r>
              <w:rPr>
                <w:rStyle w:val="row-content-rich-text"/>
              </w:rPr>
              <w:t xml:space="preserve">In order to enhance the value of the differential service use data, it would be helpful to analyse service use in relation to estimated need for services. For example, actual and need-adjusted service use rates could be compared (e.g. van Doorslaer et al 2004, 2006; Mathers 1994) across socioeconomic areas, remoteness areas or by Indigenous status. Need could be estimated based on population health survey data about, for example, self-assessed health status and long-term health conditions.</w:t>
            </w:r>
          </w:p>
          <w:p>
            <w:pPr/>
            <w:r>
              <w:rPr>
                <w:rStyle w:val="row-content-rich-text"/>
              </w:rPr>
              <w:t xml:space="preserve">The Department of Veterans' Affairs (DVA) was identified as a data source, but due to lack of data availability it has not been included in the calculation this reporting cycle. Inclusion of DVA data in future reporting depends on advice from the department.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5c078ce38b24105">
              <w:r>
                <w:rPr>
                  <w:rStyle w:val="Hyperlink"/>
                </w:rPr>
                <w:t xml:space="preserve">National Healthcare Agreement: PI 24-GP-type services, 2011</w:t>
              </w:r>
            </w:hyperlink>
          </w:p>
          <w:p>
            <w:pPr>
              <w:spacing w:before="0" w:after="0"/>
            </w:pPr>
            <w:r>
              <w:rPr>
                <w:rStyle w:val="row-content"/>
                <w:color w:val="244061"/>
              </w:rPr>
              <w:t xml:space="preserve">       </w:t>
            </w:r>
            <w:hyperlink w:history="true" r:id="R5a4769690e41454d">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5fae872dc9f471d">
              <w:r>
                <w:rPr>
                  <w:rStyle w:val="Hyperlink"/>
                </w:rPr>
                <w:t xml:space="preserve">National Healthcare Agreement: P14-Waiting times for GP's, 2010</w:t>
              </w:r>
            </w:hyperlink>
          </w:p>
          <w:p>
            <w:pPr>
              <w:spacing w:before="0" w:after="0"/>
            </w:pPr>
            <w:r>
              <w:rPr>
                <w:rStyle w:val="row-content"/>
                <w:color w:val="244061"/>
              </w:rPr>
              <w:t xml:space="preserve">       </w:t>
            </w:r>
            <w:hyperlink w:history="true" r:id="R335926be1c84482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1cf79e65b30430b">
              <w:r>
                <w:rPr>
                  <w:rStyle w:val="Hyperlink"/>
                </w:rPr>
                <w:t xml:space="preserve">National Healthcare Agreement: P16-People deferring recommended treatment due to financial barriers, 2010</w:t>
              </w:r>
            </w:hyperlink>
          </w:p>
          <w:p>
            <w:pPr>
              <w:spacing w:before="0" w:after="0"/>
            </w:pPr>
            <w:r>
              <w:rPr>
                <w:rStyle w:val="row-content"/>
                <w:color w:val="244061"/>
              </w:rPr>
              <w:t xml:space="preserve">       </w:t>
            </w:r>
            <w:hyperlink w:history="true" r:id="R31e4c87b50a44dee">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18885d9eaca4b34">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eb4e0b182486472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28cea09a1ca04884">
              <w:r>
                <w:rPr>
                  <w:rStyle w:val="Hyperlink"/>
                </w:rPr>
                <w:t xml:space="preserve">National Healthcare Agreement: P23-Selected potentially avoidable GP-type presentations to emergency departments, 2010</w:t>
              </w:r>
            </w:hyperlink>
          </w:p>
          <w:p>
            <w:pPr>
              <w:spacing w:before="0" w:after="0"/>
            </w:pPr>
            <w:r>
              <w:rPr>
                <w:rStyle w:val="row-content"/>
                <w:color w:val="244061"/>
              </w:rPr>
              <w:t xml:space="preserve">       </w:t>
            </w:r>
            <w:hyperlink w:history="true" r:id="R7391babce2f54f7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bb812ef1db346de">
              <w:r>
                <w:rPr>
                  <w:rStyle w:val="Hyperlink"/>
                </w:rPr>
                <w:t xml:space="preserve">National Healthcare Agreement: P25-Specialist services claimed through Medicare, 2010</w:t>
              </w:r>
            </w:hyperlink>
          </w:p>
          <w:p>
            <w:pPr>
              <w:spacing w:before="0" w:after="0"/>
            </w:pPr>
            <w:r>
              <w:rPr>
                <w:rStyle w:val="row-content"/>
                <w:color w:val="244061"/>
              </w:rPr>
              <w:t xml:space="preserve">       </w:t>
            </w:r>
            <w:hyperlink w:history="true" r:id="Rbefd0938d5184ca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49fdd236ae04802">
              <w:r>
                <w:rPr>
                  <w:rStyle w:val="Hyperlink"/>
                </w:rPr>
                <w:t xml:space="preserve">National Healthcare Agreement: P35-Waiting times for emergency department care, 2010</w:t>
              </w:r>
            </w:hyperlink>
          </w:p>
          <w:p>
            <w:pPr>
              <w:spacing w:before="0" w:after="0"/>
            </w:pPr>
            <w:r>
              <w:rPr>
                <w:rStyle w:val="row-content"/>
                <w:color w:val="244061"/>
              </w:rPr>
              <w:t xml:space="preserve">       </w:t>
            </w:r>
            <w:hyperlink w:history="true" r:id="R0f7722b3fde44a9e">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d39a16fe2854fd7">
              <w:r>
                <w:rPr>
                  <w:rStyle w:val="Hyperlink"/>
                </w:rPr>
                <w:t xml:space="preserve">National Healthcare Agreement: P65-Net growth in health workforce, 2010 </w:t>
              </w:r>
            </w:hyperlink>
          </w:p>
          <w:p>
            <w:pPr>
              <w:spacing w:before="0" w:after="0"/>
            </w:pPr>
            <w:r>
              <w:rPr>
                <w:rStyle w:val="row-content"/>
                <w:color w:val="244061"/>
              </w:rPr>
              <w:t xml:space="preserve">       </w:t>
            </w:r>
            <w:hyperlink w:history="true" r:id="R22f44b21a2784262">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e7d4aef0595644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394776</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b3da26bef240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d4aef0595644d0" /><Relationship Type="http://schemas.openxmlformats.org/officeDocument/2006/relationships/header" Target="/word/header1.xml" Id="Rc0a35ca95f5649a8" /><Relationship Type="http://schemas.openxmlformats.org/officeDocument/2006/relationships/settings" Target="/word/settings.xml" Id="Re6e16d546aa442f8" /><Relationship Type="http://schemas.openxmlformats.org/officeDocument/2006/relationships/styles" Target="/word/styles.xml" Id="R65a272d7bf46475f" /><Relationship Type="http://schemas.openxmlformats.org/officeDocument/2006/relationships/hyperlink" Target="https://meteor.aihw.gov.au/RegistrationAuthority/12" TargetMode="External" Id="R28104f29c07b4fa4" /><Relationship Type="http://schemas.openxmlformats.org/officeDocument/2006/relationships/hyperlink" Target="https://meteor.aihw.gov.au/content/392471" TargetMode="External" Id="R590a241f67e1491a" /><Relationship Type="http://schemas.openxmlformats.org/officeDocument/2006/relationships/hyperlink" Target="https://meteor.aihw.gov.au/RegistrationAuthority/12" TargetMode="External" Id="Rdc236db8315e4f1a" /><Relationship Type="http://schemas.openxmlformats.org/officeDocument/2006/relationships/hyperlink" Target="https://meteor.aihw.gov.au/content/393484" TargetMode="External" Id="R8e71e2fd30204e6d" /><Relationship Type="http://schemas.openxmlformats.org/officeDocument/2006/relationships/hyperlink" Target="https://meteor.aihw.gov.au/RegistrationAuthority/12" TargetMode="External" Id="Rf44cac73ee764878" /><Relationship Type="http://schemas.openxmlformats.org/officeDocument/2006/relationships/hyperlink" Target="https://meteor.aihw.gov.au/content/392654" TargetMode="External" Id="R63dc060a3226492f" /><Relationship Type="http://schemas.openxmlformats.org/officeDocument/2006/relationships/hyperlink" Target="https://meteor.aihw.gov.au/RegistrationAuthority/12" TargetMode="External" Id="Rb6f6e1c7732a493a" /><Relationship Type="http://schemas.openxmlformats.org/officeDocument/2006/relationships/hyperlink" Target="https://meteor.aihw.gov.au/content/394305" TargetMode="External" Id="Rd1cc940408b64111" /><Relationship Type="http://schemas.openxmlformats.org/officeDocument/2006/relationships/hyperlink" Target="https://meteor.aihw.gov.au/content/270101" TargetMode="External" Id="R7a0183a6855e4f5f" /><Relationship Type="http://schemas.openxmlformats.org/officeDocument/2006/relationships/hyperlink" Target="https://meteor.aihw.gov.au/content/394305" TargetMode="External" Id="R01b86651b54b4482" /><Relationship Type="http://schemas.openxmlformats.org/officeDocument/2006/relationships/hyperlink" Target="https://meteor.aihw.gov.au/content/393625" TargetMode="External" Id="R20ddeacefdc84d83" /><Relationship Type="http://schemas.openxmlformats.org/officeDocument/2006/relationships/hyperlink" Target="https://meteor.aihw.gov.au/content/394305" TargetMode="External" Id="R40b680a3844b4043" /><Relationship Type="http://schemas.openxmlformats.org/officeDocument/2006/relationships/hyperlink" Target="https://meteor.aihw.gov.au/content/392591" TargetMode="External" Id="R0ee93bc909594615" /><Relationship Type="http://schemas.openxmlformats.org/officeDocument/2006/relationships/hyperlink" Target="https://meteor.aihw.gov.au/content/393625" TargetMode="External" Id="R1f3662fdadc542ff" /><Relationship Type="http://schemas.openxmlformats.org/officeDocument/2006/relationships/hyperlink" Target="https://meteor.aihw.gov.au/content/449216" TargetMode="External" Id="R37e75248aaa54b48" /><Relationship Type="http://schemas.openxmlformats.org/officeDocument/2006/relationships/hyperlink" Target="https://meteor.aihw.gov.au/content/394305" TargetMode="External" Id="Rf9f948e0ca5a40db" /><Relationship Type="http://schemas.openxmlformats.org/officeDocument/2006/relationships/hyperlink" Target="https://meteor.aihw.gov.au/content/421644" TargetMode="External" Id="R05c078ce38b24105" /><Relationship Type="http://schemas.openxmlformats.org/officeDocument/2006/relationships/hyperlink" Target="https://meteor.aihw.gov.au/RegistrationAuthority/12" TargetMode="External" Id="R5a4769690e41454d" /><Relationship Type="http://schemas.openxmlformats.org/officeDocument/2006/relationships/hyperlink" Target="https://meteor.aihw.gov.au/content/394411" TargetMode="External" Id="R35fae872dc9f471d" /><Relationship Type="http://schemas.openxmlformats.org/officeDocument/2006/relationships/hyperlink" Target="https://meteor.aihw.gov.au/RegistrationAuthority/12" TargetMode="External" Id="R335926be1c844825" /><Relationship Type="http://schemas.openxmlformats.org/officeDocument/2006/relationships/hyperlink" Target="https://meteor.aihw.gov.au/content/394433" TargetMode="External" Id="R11cf79e65b30430b" /><Relationship Type="http://schemas.openxmlformats.org/officeDocument/2006/relationships/hyperlink" Target="https://meteor.aihw.gov.au/RegistrationAuthority/12" TargetMode="External" Id="R31e4c87b50a44dee" /><Relationship Type="http://schemas.openxmlformats.org/officeDocument/2006/relationships/hyperlink" Target="https://meteor.aihw.gov.au/content/394719" TargetMode="External" Id="R918885d9eaca4b34" /><Relationship Type="http://schemas.openxmlformats.org/officeDocument/2006/relationships/hyperlink" Target="https://meteor.aihw.gov.au/RegistrationAuthority/12" TargetMode="External" Id="Reb4e0b1824864724" /><Relationship Type="http://schemas.openxmlformats.org/officeDocument/2006/relationships/hyperlink" Target="https://meteor.aihw.gov.au/content/394721" TargetMode="External" Id="R28cea09a1ca04884" /><Relationship Type="http://schemas.openxmlformats.org/officeDocument/2006/relationships/hyperlink" Target="https://meteor.aihw.gov.au/RegistrationAuthority/12" TargetMode="External" Id="R7391babce2f54f75" /><Relationship Type="http://schemas.openxmlformats.org/officeDocument/2006/relationships/hyperlink" Target="https://meteor.aihw.gov.au/content/394822" TargetMode="External" Id="Rdbb812ef1db346de" /><Relationship Type="http://schemas.openxmlformats.org/officeDocument/2006/relationships/hyperlink" Target="https://meteor.aihw.gov.au/RegistrationAuthority/12" TargetMode="External" Id="Rbefd0938d5184ca8" /><Relationship Type="http://schemas.openxmlformats.org/officeDocument/2006/relationships/hyperlink" Target="https://meteor.aihw.gov.au/content/395017" TargetMode="External" Id="Rc49fdd236ae04802" /><Relationship Type="http://schemas.openxmlformats.org/officeDocument/2006/relationships/hyperlink" Target="https://meteor.aihw.gov.au/RegistrationAuthority/12" TargetMode="External" Id="R0f7722b3fde44a9e" /><Relationship Type="http://schemas.openxmlformats.org/officeDocument/2006/relationships/hyperlink" Target="https://meteor.aihw.gov.au/content/395140" TargetMode="External" Id="Red39a16fe2854fd7" /><Relationship Type="http://schemas.openxmlformats.org/officeDocument/2006/relationships/hyperlink" Target="https://meteor.aihw.gov.au/RegistrationAuthority/12" TargetMode="External" Id="R22f44b21a2784262" /></Relationships>
</file>

<file path=word/_rels/header1.xml.rels>&#65279;<?xml version="1.0" encoding="utf-8"?><Relationships xmlns="http://schemas.openxmlformats.org/package/2006/relationships"><Relationship Type="http://schemas.openxmlformats.org/officeDocument/2006/relationships/image" Target="/media/image.png" Id="R88b3da26bef240c4" /></Relationships>
</file>