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ab89af98342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P23-Selected potentially avoidable GP-type presentations to emergency departments,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P23-Selected potentially avoidable GP-type presentations to emergency departments,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Selected potentially avoidable GP-type presentations to emergency departments,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e08291709469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464bba2e6b438d">
              <w:r>
                <w:rPr>
                  <w:rStyle w:val="Hyperlink"/>
                </w:rPr>
                <w:t xml:space="preserve">National Healthcare Agreement (2010)</w:t>
              </w:r>
            </w:hyperlink>
          </w:p>
          <w:p>
            <w:pPr>
              <w:spacing w:before="0" w:after="0"/>
            </w:pPr>
            <w:r>
              <w:rPr>
                <w:rStyle w:val="row-content"/>
                <w:color w:val="244061"/>
              </w:rPr>
              <w:t xml:space="preserve">       </w:t>
            </w:r>
            <w:hyperlink w:history="true" r:id="R433feef2919246d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b85a67db304088">
              <w:r>
                <w:rPr>
                  <w:rStyle w:val="Hyperlink"/>
                </w:rPr>
                <w:t xml:space="preserve">Primary and Community Health</w:t>
              </w:r>
            </w:hyperlink>
          </w:p>
          <w:p>
            <w:pPr>
              <w:spacing w:before="0" w:after="0"/>
            </w:pPr>
            <w:r>
              <w:rPr>
                <w:rStyle w:val="row-content"/>
                <w:color w:val="244061"/>
              </w:rPr>
              <w:t xml:space="preserve">       </w:t>
            </w:r>
            <w:hyperlink w:history="true" r:id="R40b139c53de542e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987225bb8a241f9">
              <w:r>
                <w:rPr>
                  <w:rStyle w:val="Hyperlink"/>
                </w:rPr>
                <w:t xml:space="preserve">National Healthcare Agreement: P23-Selected potentially avoidable GP-type presentations to emergency departments, 2010 QS</w:t>
              </w:r>
            </w:hyperlink>
          </w:p>
          <w:p>
            <w:pPr>
              <w:spacing w:before="0" w:after="0"/>
            </w:pPr>
            <w:r>
              <w:rPr>
                <w:rStyle w:val="row-content"/>
                <w:color w:val="244061"/>
              </w:rPr>
              <w:t xml:space="preserve">       </w:t>
            </w:r>
            <w:hyperlink w:history="true" r:id="R349f98665a224e9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in Peer Groups A and B.</w:t>
            </w:r>
          </w:p>
          <w:p>
            <w:pPr>
              <w:spacing w:after="160"/>
            </w:pPr>
            <w:r>
              <w:rPr>
                <w:rStyle w:val="row-content-rich-text"/>
              </w:rPr>
              <w:t xml:space="preserve">Potentially avoidable GP-type presentations are defined as presentations to public hospital emergency departments with a type of visit of emergency presentation (or not reported) that:</w:t>
            </w:r>
          </w:p>
          <w:p>
            <w:pPr>
              <w:spacing w:after="160"/>
            </w:pPr>
            <w:r>
              <w:rPr>
                <w:rStyle w:val="row-content-rich-text"/>
              </w:rPr>
              <w:t xml:space="preserve">•   were allocated a Triage category of 4 or 5 AND</w:t>
            </w:r>
          </w:p>
          <w:p>
            <w:pPr>
              <w:spacing w:after="160"/>
            </w:pPr>
            <w:r>
              <w:rPr>
                <w:rStyle w:val="row-content-rich-text"/>
              </w:rPr>
              <w:t xml:space="preserve">•   did not arrive by ambulance or police or correctional vehicle AND</w:t>
            </w:r>
          </w:p>
          <w:p>
            <w:pPr>
              <w:spacing w:after="160"/>
            </w:pPr>
            <w:r>
              <w:rPr>
                <w:rStyle w:val="row-content-rich-text"/>
              </w:rPr>
              <w:t xml:space="preserve">•   were not admitted to the hospital, referred to another hospital, AND</w:t>
            </w:r>
          </w:p>
          <w:p>
            <w:pPr/>
            <w:r>
              <w:rPr>
                <w:rStyle w:val="row-content-rich-text"/>
              </w:rPr>
              <w:t xml:space="preserve">•   and did not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2abea2370f264bad">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c32bcc2223c413b">
              <w:r>
                <w:rPr>
                  <w:rStyle w:val="Hyperlink"/>
                </w:rPr>
                <w:t xml:space="preserve">Non-admitted patient emergency department service episode—transport mode (arrival), code N</w:t>
              </w:r>
            </w:hyperlink>
          </w:p>
          <w:p>
            <w:r>
              <w:rPr>
                <w:rStyle w:val="row-content"/>
                <w:b/>
              </w:rPr>
              <w:t xml:space="preserve">Data Source</w:t>
            </w:r>
          </w:p>
          <w:p>
            <w:hyperlink w:history="true" r:id="Rfda8f9d57729430f">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c2c17937104eb0">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a5f536ecad04949">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94aec2a8aba4469">
              <w:r>
                <w:rPr>
                  <w:rStyle w:val="Hyperlink"/>
                </w:rPr>
                <w:t xml:space="preserve">Non-admitted patient emergency department service episode—episode end status, code N</w:t>
              </w:r>
            </w:hyperlink>
          </w:p>
          <w:p>
            <w:r>
              <w:rPr>
                <w:rStyle w:val="row-content"/>
                <w:b/>
              </w:rPr>
              <w:t xml:space="preserve">Data Source</w:t>
            </w:r>
          </w:p>
          <w:p>
            <w:hyperlink w:history="true" r:id="R5bed7d7a1eba4065">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33941ed85542ae">
              <w:r>
                <w:rPr>
                  <w:rStyle w:val="Hyperlink"/>
                </w:rPr>
                <w:t xml:space="preserve">Non-admitted patient emergency department service episode—triage category, code N</w:t>
              </w:r>
            </w:hyperlink>
          </w:p>
          <w:p>
            <w:r>
              <w:rPr>
                <w:rStyle w:val="row-content"/>
                <w:b/>
              </w:rPr>
              <w:t xml:space="preserve">Data Source</w:t>
            </w:r>
          </w:p>
          <w:p>
            <w:hyperlink w:history="true" r:id="R3c2b223ea57e44de">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0ac34b7594462d">
              <w:r>
                <w:rPr>
                  <w:rStyle w:val="Hyperlink"/>
                </w:rPr>
                <w:t xml:space="preserve">Person—Australian state/territory identifier, code N</w:t>
              </w:r>
            </w:hyperlink>
          </w:p>
          <w:p>
            <w:r>
              <w:rPr>
                <w:rStyle w:val="row-content"/>
                <w:b/>
              </w:rPr>
              <w:t xml:space="preserve">Data Source</w:t>
            </w:r>
          </w:p>
          <w:p>
            <w:hyperlink w:history="true" r:id="R22eb4afbca514caa">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dee87532604f31">
              <w:r>
                <w:rPr>
                  <w:rStyle w:val="Hyperlink"/>
                </w:rPr>
                <w:t xml:space="preserve">Person—Indigenous status, code N</w:t>
              </w:r>
            </w:hyperlink>
          </w:p>
          <w:p>
            <w:r>
              <w:rPr>
                <w:rStyle w:val="row-content"/>
                <w:b/>
              </w:rPr>
              <w:t xml:space="preserve">Data Source</w:t>
            </w:r>
          </w:p>
          <w:p>
            <w:hyperlink w:history="true" r:id="R4e4bd45c2395470b">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e712f1727841bc">
              <w:r>
                <w:rPr>
                  <w:rStyle w:val="Hyperlink"/>
                </w:rPr>
                <w:t xml:space="preserve">Person—area of usual residence, geographical location code (ASGC 2008) NNNNN</w:t>
              </w:r>
            </w:hyperlink>
          </w:p>
          <w:p>
            <w:r>
              <w:rPr>
                <w:rStyle w:val="row-content"/>
                <w:b/>
              </w:rPr>
              <w:t xml:space="preserve">Data Source</w:t>
            </w:r>
          </w:p>
          <w:p>
            <w:hyperlink w:history="true" r:id="R8f27d225a2624e6b">
              <w:r>
                <w:rPr>
                  <w:rStyle w:val="Hyperlink"/>
                </w:rPr>
                <w:t xml:space="preserve">National Non-admitted Patient Emergency Department Care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Data for 2008-09 will be available by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4f18a1745c4c2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43b09b06934466">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spacing w:after="160"/>
            </w:pPr>
            <w:r>
              <w:rPr>
                <w:rStyle w:val="row-content-rich-text"/>
                <w:u w:val="single"/>
              </w:rPr>
              <w:t xml:space="preserve">National Healthcare Agreement performance benchmark and National Partnership on Taking Pressure of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 Public Hospitals performance benchmark:</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 Public Hospitals output measures.</w:t>
            </w:r>
          </w:p>
          <w:p>
            <w:pPr>
              <w:spacing w:after="160"/>
            </w:pPr>
            <w:r>
              <w:rPr>
                <w:rStyle w:val="row-content-rich-text"/>
                <w:u w:val="single"/>
              </w:rPr>
              <w:t xml:space="preserve">Output</w:t>
            </w:r>
            <w:r>
              <w:rPr>
                <w:rStyle w:val="row-content-rich-text"/>
              </w:rPr>
              <w:t xml:space="preserve"> A nationally accepted definition of what a non-emergency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There has been an undertaking during development of the NPA on Hospital and Health Workforce Reform (Taking the pressure off public hospitals) that there are four streams of work to fully define this indicator:</w:t>
            </w:r>
          </w:p>
          <w:p>
            <w:pPr>
              <w:spacing w:after="160"/>
            </w:pPr>
            <w:r>
              <w:rPr>
                <w:rStyle w:val="row-content-rich-text"/>
              </w:rPr>
              <w:t xml:space="preserve">1.        Explore and determine the intent of the indicator and agree on an appropriate term, i.e. ‘General Practitioner’ or ‘Primary Care’?</w:t>
            </w:r>
          </w:p>
          <w:p>
            <w:pPr>
              <w:spacing w:after="160"/>
            </w:pPr>
            <w:r>
              <w:rPr>
                <w:rStyle w:val="row-content-rich-text"/>
              </w:rPr>
              <w:t xml:space="preserve">2.        Inclusion of clinical information in the ED NMDS</w:t>
            </w:r>
          </w:p>
          <w:p>
            <w:pPr>
              <w:spacing w:after="160"/>
            </w:pPr>
            <w:r>
              <w:rPr>
                <w:rStyle w:val="row-content-rich-text"/>
              </w:rPr>
              <w:t xml:space="preserve">3.        Identifying a subset of diagnosis codes to be used as a factor for identifying the GP type/primary care presentations; and</w:t>
            </w:r>
          </w:p>
          <w:p>
            <w:pPr>
              <w:spacing w:after="160"/>
            </w:pPr>
            <w:r>
              <w:rPr>
                <w:rStyle w:val="row-content-rich-text"/>
              </w:rPr>
              <w:t xml:space="preserve">4.        Defining an ED for the purposes of reporting in-scope ED attendances.</w:t>
            </w:r>
          </w:p>
          <w:p>
            <w:pPr>
              <w:spacing w:after="160"/>
            </w:pPr>
            <w:r>
              <w:rPr>
                <w:rStyle w:val="row-content-rich-text"/>
              </w:rPr>
              <w:t xml:space="preserve">Following this data development, it is likely that the long-term measure for this indicator may differ substantially from the interim measure.</w:t>
            </w:r>
          </w:p>
          <w:p>
            <w:pPr>
              <w:spacing w:after="160"/>
            </w:pPr>
            <w:r>
              <w:rPr>
                <w:rStyle w:val="row-content-rich-text"/>
              </w:rPr>
              <w:t xml:space="preserve">Data development work is planned to refine definitions and consider possible implementation of nationally consistent clinical information about diagnosis/presenting problem into the NAPED NMDS.</w:t>
            </w:r>
          </w:p>
          <w:p>
            <w:pPr>
              <w:spacing w:after="160"/>
            </w:pPr>
            <w:r>
              <w:rPr>
                <w:rStyle w:val="row-content-rich-text"/>
              </w:rPr>
              <w:t xml:space="preserve">The COAG 19(2) initiative will provide exemptions under Section 19(2) of the </w:t>
            </w:r>
            <w:r>
              <w:rPr>
                <w:rStyle w:val="row-content-rich-text"/>
                <w:i/>
              </w:rPr>
              <w:t xml:space="preserve">Health Insurance Act 1973</w:t>
            </w:r>
            <w:r>
              <w:rPr>
                <w:rStyle w:val="row-content-rich-text"/>
              </w:rPr>
              <w:t xml:space="preserve"> to enable Medicare rebate to be claimed for state-remunerated primary health care services (for non-admitted and non-referred patients) in some rural and remote communities of less than 7,000 people. This active encouragement of GP services through EDs should be taken into consideration when collecting and reporting this data.</w:t>
            </w:r>
          </w:p>
          <w:p>
            <w:pPr/>
            <w:r>
              <w:rPr>
                <w:rStyle w:val="row-content-rich-text"/>
              </w:rPr>
              <w:t xml:space="preserve">Work is required to improve the identification of Indigenous Australians within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Coverage of the data collection was about 78% of all ED presentations to public hospitals in 2007–08. These data are available for hospitals in Peer Group A and B. Coverage for other hospitals, particularly those in more remote areas, is incomplete. This means that data by Indigenous status and remoteness area should be interpreted with caution.</w:t>
            </w:r>
          </w:p>
          <w:p>
            <w:pPr/>
            <w:r>
              <w:rPr>
                <w:rStyle w:val="row-content-rich-text"/>
              </w:rPr>
              <w:t xml:space="preserve">This definition of ‘potentially avoidable GP-type presentation’ was used in the Booz Allen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67df94be284300">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68a51ea138584ae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a18783c223246e5">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4d41b6cdf39840a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c748159046d488f">
              <w:r>
                <w:rPr>
                  <w:rStyle w:val="Hyperlink"/>
                </w:rPr>
                <w:t xml:space="preserve">National Healthcare Agreement: P24-GP-type services, 2010</w:t>
              </w:r>
            </w:hyperlink>
          </w:p>
          <w:p>
            <w:pPr>
              <w:spacing w:before="0" w:after="0"/>
            </w:pPr>
            <w:r>
              <w:rPr>
                <w:rStyle w:val="row-content"/>
                <w:color w:val="244061"/>
              </w:rPr>
              <w:t xml:space="preserve">       </w:t>
            </w:r>
            <w:hyperlink w:history="true" r:id="R66479a07b6d4435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4abe7c2c6b7464c">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a701efb270964fd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d683a5dad174911">
              <w:r>
                <w:rPr>
                  <w:rStyle w:val="Hyperlink"/>
                </w:rPr>
                <w:t xml:space="preserve">National Healthcare Agreement: P36-Waiting time for admission following emergency department care, 2010</w:t>
              </w:r>
            </w:hyperlink>
          </w:p>
          <w:p>
            <w:pPr>
              <w:spacing w:before="0" w:after="0"/>
            </w:pPr>
            <w:r>
              <w:rPr>
                <w:rStyle w:val="row-content"/>
                <w:color w:val="244061"/>
              </w:rPr>
              <w:t xml:space="preserve">       </w:t>
            </w:r>
            <w:hyperlink w:history="true" r:id="Reb1bf2af925b428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6cf226dde54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9bcba694640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f226dde5444cf" /><Relationship Type="http://schemas.openxmlformats.org/officeDocument/2006/relationships/header" Target="/word/header1.xml" Id="R8a4c2715e68a40de" /><Relationship Type="http://schemas.openxmlformats.org/officeDocument/2006/relationships/settings" Target="/word/settings.xml" Id="R54aa284d581a4934" /><Relationship Type="http://schemas.openxmlformats.org/officeDocument/2006/relationships/styles" Target="/word/styles.xml" Id="R8a59dd0850f0479d" /><Relationship Type="http://schemas.openxmlformats.org/officeDocument/2006/relationships/hyperlink" Target="https://meteor.aihw.gov.au/RegistrationAuthority/12" TargetMode="External" Id="Rfa1e08291709469c" /><Relationship Type="http://schemas.openxmlformats.org/officeDocument/2006/relationships/hyperlink" Target="https://meteor.aihw.gov.au/content/392471" TargetMode="External" Id="R11464bba2e6b438d" /><Relationship Type="http://schemas.openxmlformats.org/officeDocument/2006/relationships/hyperlink" Target="https://meteor.aihw.gov.au/RegistrationAuthority/12" TargetMode="External" Id="R433feef2919246dc" /><Relationship Type="http://schemas.openxmlformats.org/officeDocument/2006/relationships/hyperlink" Target="https://meteor.aihw.gov.au/content/393484" TargetMode="External" Id="R91b85a67db304088" /><Relationship Type="http://schemas.openxmlformats.org/officeDocument/2006/relationships/hyperlink" Target="https://meteor.aihw.gov.au/RegistrationAuthority/12" TargetMode="External" Id="R40b139c53de542ee" /><Relationship Type="http://schemas.openxmlformats.org/officeDocument/2006/relationships/hyperlink" Target="https://meteor.aihw.gov.au/content/392646" TargetMode="External" Id="R9987225bb8a241f9" /><Relationship Type="http://schemas.openxmlformats.org/officeDocument/2006/relationships/hyperlink" Target="https://meteor.aihw.gov.au/RegistrationAuthority/12" TargetMode="External" Id="R349f98665a224e96" /><Relationship Type="http://schemas.openxmlformats.org/officeDocument/2006/relationships/hyperlink" Target="https://meteor.aihw.gov.au/content/394733" TargetMode="External" Id="R2abea2370f264bad" /><Relationship Type="http://schemas.openxmlformats.org/officeDocument/2006/relationships/hyperlink" Target="https://meteor.aihw.gov.au/content/270000" TargetMode="External" Id="R0c32bcc2223c413b" /><Relationship Type="http://schemas.openxmlformats.org/officeDocument/2006/relationships/hyperlink" Target="https://meteor.aihw.gov.au/content/394733" TargetMode="External" Id="Rfda8f9d57729430f" /><Relationship Type="http://schemas.openxmlformats.org/officeDocument/2006/relationships/hyperlink" Target="https://meteor.aihw.gov.au/content/270362" TargetMode="External" Id="R47c2c17937104eb0" /><Relationship Type="http://schemas.openxmlformats.org/officeDocument/2006/relationships/hyperlink" Target="https://meteor.aihw.gov.au/content/394733" TargetMode="External" Id="R6a5f536ecad04949" /><Relationship Type="http://schemas.openxmlformats.org/officeDocument/2006/relationships/hyperlink" Target="https://meteor.aihw.gov.au/content/322641" TargetMode="External" Id="R294aec2a8aba4469" /><Relationship Type="http://schemas.openxmlformats.org/officeDocument/2006/relationships/hyperlink" Target="https://meteor.aihw.gov.au/content/394733" TargetMode="External" Id="R5bed7d7a1eba4065" /><Relationship Type="http://schemas.openxmlformats.org/officeDocument/2006/relationships/hyperlink" Target="https://meteor.aihw.gov.au/content/390392" TargetMode="External" Id="R5133941ed85542ae" /><Relationship Type="http://schemas.openxmlformats.org/officeDocument/2006/relationships/hyperlink" Target="https://meteor.aihw.gov.au/content/394733" TargetMode="External" Id="R3c2b223ea57e44de" /><Relationship Type="http://schemas.openxmlformats.org/officeDocument/2006/relationships/hyperlink" Target="https://meteor.aihw.gov.au/content/286919" TargetMode="External" Id="R680ac34b7594462d" /><Relationship Type="http://schemas.openxmlformats.org/officeDocument/2006/relationships/hyperlink" Target="https://meteor.aihw.gov.au/content/394733" TargetMode="External" Id="R22eb4afbca514caa" /><Relationship Type="http://schemas.openxmlformats.org/officeDocument/2006/relationships/hyperlink" Target="https://meteor.aihw.gov.au/content/291036" TargetMode="External" Id="R9bdee87532604f31" /><Relationship Type="http://schemas.openxmlformats.org/officeDocument/2006/relationships/hyperlink" Target="https://meteor.aihw.gov.au/content/394733" TargetMode="External" Id="R4e4bd45c2395470b" /><Relationship Type="http://schemas.openxmlformats.org/officeDocument/2006/relationships/hyperlink" Target="https://meteor.aihw.gov.au/content/377103" TargetMode="External" Id="R57e712f1727841bc" /><Relationship Type="http://schemas.openxmlformats.org/officeDocument/2006/relationships/hyperlink" Target="https://meteor.aihw.gov.au/content/394733" TargetMode="External" Id="R8f27d225a2624e6b" /><Relationship Type="http://schemas.openxmlformats.org/officeDocument/2006/relationships/hyperlink" Target="https://meteor.aihw.gov.au/content/392591" TargetMode="External" Id="R5b4f18a1745c4c22" /><Relationship Type="http://schemas.openxmlformats.org/officeDocument/2006/relationships/hyperlink" Target="https://meteor.aihw.gov.au/content/394733" TargetMode="External" Id="R1c43b09b06934466" /><Relationship Type="http://schemas.openxmlformats.org/officeDocument/2006/relationships/hyperlink" Target="https://meteor.aihw.gov.au/content/421647" TargetMode="External" Id="R3667df94be284300" /><Relationship Type="http://schemas.openxmlformats.org/officeDocument/2006/relationships/hyperlink" Target="https://meteor.aihw.gov.au/RegistrationAuthority/12" TargetMode="External" Id="R68a51ea138584ae4" /><Relationship Type="http://schemas.openxmlformats.org/officeDocument/2006/relationships/hyperlink" Target="https://meteor.aihw.gov.au/content/394411" TargetMode="External" Id="R1a18783c223246e5" /><Relationship Type="http://schemas.openxmlformats.org/officeDocument/2006/relationships/hyperlink" Target="https://meteor.aihw.gov.au/RegistrationAuthority/12" TargetMode="External" Id="R4d41b6cdf39840ae" /><Relationship Type="http://schemas.openxmlformats.org/officeDocument/2006/relationships/hyperlink" Target="https://meteor.aihw.gov.au/content/394776" TargetMode="External" Id="Rec748159046d488f" /><Relationship Type="http://schemas.openxmlformats.org/officeDocument/2006/relationships/hyperlink" Target="https://meteor.aihw.gov.au/RegistrationAuthority/12" TargetMode="External" Id="R66479a07b6d44358" /><Relationship Type="http://schemas.openxmlformats.org/officeDocument/2006/relationships/hyperlink" Target="https://meteor.aihw.gov.au/content/395017" TargetMode="External" Id="Rb4abe7c2c6b7464c" /><Relationship Type="http://schemas.openxmlformats.org/officeDocument/2006/relationships/hyperlink" Target="https://meteor.aihw.gov.au/RegistrationAuthority/12" TargetMode="External" Id="Ra701efb270964fdc" /><Relationship Type="http://schemas.openxmlformats.org/officeDocument/2006/relationships/hyperlink" Target="https://meteor.aihw.gov.au/content/395019" TargetMode="External" Id="R7d683a5dad174911" /><Relationship Type="http://schemas.openxmlformats.org/officeDocument/2006/relationships/hyperlink" Target="https://meteor.aihw.gov.au/RegistrationAuthority/12" TargetMode="External" Id="Reb1bf2af925b428a" /></Relationships>
</file>

<file path=word/_rels/header1.xml.rels>&#65279;<?xml version="1.0" encoding="utf-8"?><Relationships xmlns="http://schemas.openxmlformats.org/package/2006/relationships"><Relationship Type="http://schemas.openxmlformats.org/officeDocument/2006/relationships/image" Target="/media/image.png" Id="Rdbd9bcba6946407b" /></Relationships>
</file>