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c4e2fc5415429a"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(NBCSP)</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(NBCSP)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Bowel Cancer Screening Program (NBCSP) began in 2006. It aims to reduce morbidity and mortality from bowel cancer by actively recruiting and screening the eligible target population for early detection or prevention of the disease. In 2014, the Australian Government announced that the program would be expanded to offer free 2-yearly screening for all Australians aged 50–74.</w:t>
            </w:r>
          </w:p>
          <w:p>
            <w:pPr>
              <w:spacing w:after="160"/>
            </w:pPr>
            <w:r>
              <w:rPr>
                <w:rStyle w:val="row-content-rich-text"/>
              </w:rPr>
              <w:t xml:space="preserve">The target population list is compiled from those who were registered as an Australian citizen or migrant in the Medicare enrolment file, or were registered with a Department of Veterans’ Affairs gold card. A phased roll-out was used with different age groups being invited to screen across different years (as shown in the following table). Two-yearly screening (with all relevant age groups included) was fully rolled out from 2020.</w:t>
            </w:r>
          </w:p>
          <w:p>
            <w:pPr>
              <w:pStyle w:val="Heading3"/>
            </w:pPr>
            <w:r>
              <w:rPr>
                <w:rStyle w:val="row-content-rich-text"/>
                <w:b/>
              </w:rPr>
              <w:t xml:space="preserve">NBCSP phases and target populations</w:t>
            </w:r>
          </w:p>
          <w:tbl>
            <w:tblPr>
              <w:tblStyle w:val="TableGrid"/>
              <w:tblW w:w="5000" w:type="pct"/>
              <w:tblLayout w:type="autofit"/>
            </w:tblPr>
            <w:tblGrid>
              <w:gridCol/>
              <w:gridCol/>
              <w:gridCol/>
              <w:gridCol/>
            </w:tblGrid>
            <w:tr>
              <w:trPr/>
              <w:tc>
                <w:tcPr>
                  <w:tcW w:w="200" w:type="pct"/>
                  <w:vAlign w:val="top"/>
                </w:tcPr>
                <w:p>
                  <w:pPr/>
                  <w:r>
                    <w:rPr>
                      <w:rStyle w:val="row-content-rich-text"/>
                      <w:b/>
                    </w:rPr>
                    <w:t xml:space="preserve">Phase</w:t>
                  </w:r>
                </w:p>
              </w:tc>
              <w:tc>
                <w:tcPr>
                  <w:tcW w:w="1500" w:type="pct"/>
                  <w:vAlign w:val="top"/>
                </w:tcPr>
                <w:p>
                  <w:pPr/>
                  <w:r>
                    <w:rPr>
                      <w:rStyle w:val="row-content-rich-text"/>
                      <w:b/>
                    </w:rPr>
                    <w:t xml:space="preserve">Start date</w:t>
                  </w:r>
                </w:p>
              </w:tc>
              <w:tc>
                <w:tcPr>
                  <w:tcW w:w="700" w:type="pct"/>
                  <w:vAlign w:val="top"/>
                </w:tcPr>
                <w:p>
                  <w:pPr/>
                  <w:r>
                    <w:rPr>
                      <w:rStyle w:val="row-content-rich-text"/>
                      <w:b/>
                    </w:rPr>
                    <w:t xml:space="preserve">End date</w:t>
                  </w:r>
                </w:p>
              </w:tc>
              <w:tc>
                <w:tcPr>
                  <w:tcW w:w="2450" w:type="pct"/>
                  <w:vAlign w:val="top"/>
                </w:tcPr>
                <w:p>
                  <w:pPr/>
                  <w:r>
                    <w:rPr>
                      <w:rStyle w:val="row-content-rich-text"/>
                      <w:b/>
                    </w:rPr>
                    <w:t xml:space="preserve">Target ages (years)</w:t>
                  </w:r>
                </w:p>
              </w:tc>
            </w:tr>
            <w:tr>
              <w:trPr/>
              <w:tc>
                <w:tcPr>
                  <w:tcW w:w="200" w:type="pct"/>
                  <w:vAlign w:val="top"/>
                </w:tcPr>
                <w:p>
                  <w:pPr/>
                  <w:r>
                    <w:rPr>
                      <w:rStyle w:val="row-content-rich-text"/>
                    </w:rPr>
                    <w:t xml:space="preserve">1</w:t>
                  </w:r>
                </w:p>
              </w:tc>
              <w:tc>
                <w:tcPr>
                  <w:tcW w:w="1500" w:type="pct"/>
                  <w:vAlign w:val="top"/>
                </w:tcPr>
                <w:p>
                  <w:r>
                    <w:t xml:space="preserve">7 August 2006</w:t>
                  </w:r>
                </w:p>
              </w:tc>
              <w:tc>
                <w:tcPr>
                  <w:tcW w:w="700" w:type="pct"/>
                  <w:vAlign w:val="top"/>
                </w:tcPr>
                <w:p>
                  <w:r>
                    <w:t xml:space="preserve">30 June 2008</w:t>
                  </w:r>
                </w:p>
              </w:tc>
              <w:tc>
                <w:tcPr>
                  <w:tcW w:w="2450" w:type="pct"/>
                  <w:vAlign w:val="top"/>
                </w:tcPr>
                <w:p>
                  <w:r>
                    <w:t xml:space="preserve">55 and 65</w:t>
                  </w:r>
                </w:p>
              </w:tc>
            </w:tr>
            <w:tr>
              <w:trPr/>
              <w:tc>
                <w:tcPr>
                  <w:tcW w:w="200" w:type="pct"/>
                  <w:vAlign w:val="top"/>
                </w:tcPr>
                <w:p>
                  <w:r>
                    <w:t xml:space="preserve">2</w:t>
                  </w:r>
                </w:p>
              </w:tc>
              <w:tc>
                <w:tcPr>
                  <w:tcW w:w="1500" w:type="pct"/>
                  <w:vAlign w:val="top"/>
                </w:tcPr>
                <w:p>
                  <w:r>
                    <w:t xml:space="preserve">1 July 2008</w:t>
                  </w:r>
                </w:p>
              </w:tc>
              <w:tc>
                <w:tcPr>
                  <w:tcW w:w="700" w:type="pct"/>
                  <w:vAlign w:val="top"/>
                </w:tcPr>
                <w:p>
                  <w:r>
                    <w:t xml:space="preserve">30 June 2011</w:t>
                  </w:r>
                  <w:r>
                    <w:rPr>
                      <w:vertAlign w:val="superscript"/>
                    </w:rPr>
                    <w:t xml:space="preserve">(a)</w:t>
                  </w:r>
                </w:p>
              </w:tc>
              <w:tc>
                <w:tcPr>
                  <w:tcW w:w="2450" w:type="pct"/>
                  <w:vAlign w:val="top"/>
                </w:tcPr>
                <w:p>
                  <w:r>
                    <w:t xml:space="preserve">50, 55 and 65</w:t>
                  </w:r>
                </w:p>
              </w:tc>
            </w:tr>
            <w:tr>
              <w:trPr/>
              <w:tc>
                <w:tcPr>
                  <w:tcW w:w="200" w:type="pct"/>
                  <w:vAlign w:val="top"/>
                </w:tcPr>
                <w:p>
                  <w:r>
                    <w:t xml:space="preserve">2</w:t>
                  </w:r>
                  <w:r>
                    <w:rPr>
                      <w:vertAlign w:val="superscript"/>
                    </w:rPr>
                    <w:t xml:space="preserve">(b)</w:t>
                  </w:r>
                </w:p>
              </w:tc>
              <w:tc>
                <w:tcPr>
                  <w:tcW w:w="1500" w:type="pct"/>
                  <w:vAlign w:val="top"/>
                </w:tcPr>
                <w:p>
                  <w:r>
                    <w:t xml:space="preserve">1 July 2011</w:t>
                  </w:r>
                </w:p>
              </w:tc>
              <w:tc>
                <w:tcPr>
                  <w:tcW w:w="700" w:type="pct"/>
                  <w:vAlign w:val="top"/>
                </w:tcPr>
                <w:p>
                  <w:r>
                    <w:t xml:space="preserve">30 June 2013</w:t>
                  </w:r>
                </w:p>
              </w:tc>
              <w:tc>
                <w:tcPr>
                  <w:tcW w:w="2450" w:type="pct"/>
                  <w:vAlign w:val="top"/>
                </w:tcPr>
                <w:p>
                  <w:r>
                    <w:t xml:space="preserve">50, 55 and 65</w:t>
                  </w:r>
                </w:p>
              </w:tc>
            </w:tr>
            <w:tr>
              <w:trPr/>
              <w:tc>
                <w:tcPr>
                  <w:tcW w:w="200" w:type="pct"/>
                  <w:vAlign w:val="top"/>
                </w:tcPr>
                <w:p>
                  <w:r>
                    <w:t xml:space="preserve">3</w:t>
                  </w:r>
                </w:p>
              </w:tc>
              <w:tc>
                <w:tcPr>
                  <w:tcW w:w="1500" w:type="pct"/>
                  <w:vAlign w:val="top"/>
                </w:tcPr>
                <w:p>
                  <w:r>
                    <w:t xml:space="preserve">1 July 2013</w:t>
                  </w:r>
                </w:p>
              </w:tc>
              <w:tc>
                <w:tcPr>
                  <w:tcW w:w="700" w:type="pct"/>
                  <w:vAlign w:val="top"/>
                </w:tcPr>
                <w:p>
                  <w:r>
                    <w:t xml:space="preserve">Ongoing</w:t>
                  </w:r>
                </w:p>
              </w:tc>
              <w:tc>
                <w:tcPr>
                  <w:tcW w:w="2450" w:type="pct"/>
                  <w:vAlign w:val="top"/>
                </w:tcPr>
                <w:p>
                  <w:r>
                    <w:t xml:space="preserve">50, 55, 60 and 65</w:t>
                  </w:r>
                </w:p>
              </w:tc>
            </w:tr>
            <w:tr>
              <w:trPr/>
              <w:tc>
                <w:tcPr>
                  <w:tcW w:w="200" w:type="pct"/>
                  <w:vAlign w:val="top"/>
                </w:tcPr>
                <w:p>
                  <w:r>
                    <w:t xml:space="preserve">4</w:t>
                  </w:r>
                </w:p>
              </w:tc>
              <w:tc>
                <w:tcPr>
                  <w:tcW w:w="1500" w:type="pct"/>
                  <w:vAlign w:val="top"/>
                </w:tcPr>
                <w:p>
                  <w:r>
                    <w:t xml:space="preserve">1 January 2015</w:t>
                  </w:r>
                </w:p>
              </w:tc>
              <w:tc>
                <w:tcPr>
                  <w:tcW w:w="700" w:type="pct"/>
                  <w:vAlign w:val="top"/>
                </w:tcPr>
                <w:p>
                  <w:r>
                    <w:t xml:space="preserve"> </w:t>
                  </w:r>
                </w:p>
              </w:tc>
              <w:tc>
                <w:tcPr>
                  <w:tcW w:w="2450" w:type="pct"/>
                  <w:vAlign w:val="top"/>
                </w:tcPr>
                <w:p>
                  <w:r>
                    <w:t xml:space="preserve">50, 55, 60, 65, 70 and 74</w:t>
                  </w:r>
                </w:p>
              </w:tc>
            </w:tr>
            <w:tr>
              <w:trPr/>
              <w:tc>
                <w:tcPr>
                  <w:tcW w:w="200" w:type="pct"/>
                  <w:vAlign w:val="top"/>
                </w:tcPr>
                <w:p>
                  <w:r>
                    <w:t xml:space="preserve">4</w:t>
                  </w:r>
                </w:p>
              </w:tc>
              <w:tc>
                <w:tcPr>
                  <w:tcW w:w="1500" w:type="pct"/>
                  <w:vAlign w:val="top"/>
                </w:tcPr>
                <w:p>
                  <w:r>
                    <w:t xml:space="preserve">1 January 2016</w:t>
                  </w:r>
                </w:p>
              </w:tc>
              <w:tc>
                <w:tcPr>
                  <w:tcW w:w="700" w:type="pct"/>
                  <w:vAlign w:val="top"/>
                </w:tcPr>
                <w:p>
                  <w:r>
                    <w:t xml:space="preserve"> </w:t>
                  </w:r>
                </w:p>
              </w:tc>
              <w:tc>
                <w:tcPr>
                  <w:tcW w:w="2450" w:type="pct"/>
                  <w:vAlign w:val="top"/>
                </w:tcPr>
                <w:p>
                  <w:r>
                    <w:t xml:space="preserve">50, 55, 60, 64, 65, 70, 72 and 74</w:t>
                  </w:r>
                </w:p>
              </w:tc>
            </w:tr>
            <w:tr>
              <w:trPr/>
              <w:tc>
                <w:tcPr>
                  <w:tcW w:w="200" w:type="pct"/>
                  <w:vAlign w:val="top"/>
                </w:tcPr>
                <w:p>
                  <w:r>
                    <w:t xml:space="preserve">4</w:t>
                  </w:r>
                </w:p>
              </w:tc>
              <w:tc>
                <w:tcPr>
                  <w:tcW w:w="1500" w:type="pct"/>
                  <w:vAlign w:val="top"/>
                </w:tcPr>
                <w:p>
                  <w:r>
                    <w:t xml:space="preserve">1 January 2017</w:t>
                  </w:r>
                </w:p>
              </w:tc>
              <w:tc>
                <w:tcPr>
                  <w:tcW w:w="700" w:type="pct"/>
                  <w:vAlign w:val="top"/>
                </w:tcPr>
                <w:p>
                  <w:r>
                    <w:t xml:space="preserve"> </w:t>
                  </w:r>
                </w:p>
              </w:tc>
              <w:tc>
                <w:tcPr>
                  <w:tcW w:w="2450" w:type="pct"/>
                  <w:vAlign w:val="top"/>
                </w:tcPr>
                <w:p>
                  <w:r>
                    <w:t xml:space="preserve">50, 54, 55, 58, 60, 64, 68, 70, 72 and 74</w:t>
                  </w:r>
                </w:p>
              </w:tc>
            </w:tr>
            <w:tr>
              <w:trPr/>
              <w:tc>
                <w:tcPr>
                  <w:tcW w:w="200" w:type="pct"/>
                  <w:vAlign w:val="top"/>
                </w:tcPr>
                <w:p>
                  <w:r>
                    <w:t xml:space="preserve">4</w:t>
                  </w:r>
                </w:p>
              </w:tc>
              <w:tc>
                <w:tcPr>
                  <w:tcW w:w="1500" w:type="pct"/>
                  <w:vAlign w:val="top"/>
                </w:tcPr>
                <w:p>
                  <w:r>
                    <w:t xml:space="preserve">1 January 2018</w:t>
                  </w:r>
                </w:p>
              </w:tc>
              <w:tc>
                <w:tcPr>
                  <w:tcW w:w="700" w:type="pct"/>
                  <w:vAlign w:val="top"/>
                </w:tcPr>
                <w:p>
                  <w:r>
                    <w:t xml:space="preserve"> </w:t>
                  </w:r>
                </w:p>
              </w:tc>
              <w:tc>
                <w:tcPr>
                  <w:tcW w:w="2450" w:type="pct"/>
                  <w:vAlign w:val="top"/>
                </w:tcPr>
                <w:p>
                  <w:r>
                    <w:t xml:space="preserve">50, 54, 58, 60, 62, 64, 66, 68, 70, 72 and 74</w:t>
                  </w:r>
                </w:p>
              </w:tc>
            </w:tr>
            <w:tr>
              <w:trPr/>
              <w:tc>
                <w:tcPr>
                  <w:tcW w:w="200" w:type="pct"/>
                  <w:vAlign w:val="top"/>
                </w:tcPr>
                <w:p>
                  <w:r>
                    <w:t xml:space="preserve">4</w:t>
                  </w:r>
                </w:p>
              </w:tc>
              <w:tc>
                <w:tcPr>
                  <w:tcW w:w="1500" w:type="pct"/>
                  <w:vAlign w:val="top"/>
                </w:tcPr>
                <w:p>
                  <w:r>
                    <w:t xml:space="preserve">1 January 2019</w:t>
                  </w:r>
                </w:p>
              </w:tc>
              <w:tc>
                <w:tcPr>
                  <w:tcW w:w="700" w:type="pct"/>
                  <w:vAlign w:val="top"/>
                </w:tcPr>
                <w:p>
                  <w:r>
                    <w:t xml:space="preserve"> </w:t>
                  </w:r>
                </w:p>
              </w:tc>
              <w:tc>
                <w:tcPr>
                  <w:tcW w:w="2450" w:type="pct"/>
                  <w:vAlign w:val="top"/>
                </w:tcPr>
                <w:p>
                  <w:r>
                    <w:t xml:space="preserve">50, 52, 54, 56, 58, 60, 62, 64, 66, 68, 70, 72 and 74</w:t>
                  </w:r>
                </w:p>
              </w:tc>
            </w:tr>
          </w:tbl>
          <w:p>
            <w:r>
              <w:t xml:space="preserve">(a)  Eligible birth dates, and thus invitations, ended on 31 December 2010.</w:t>
            </w:r>
          </w:p>
          <w:p>
            <w:r>
              <w:t xml:space="preserve">(b)  Ongoing NBCSP funding commenced.</w:t>
            </w:r>
          </w:p>
          <w:p>
            <w:r>
              <w:rPr>
                <w:i/>
              </w:rPr>
              <w:t xml:space="preserve">Note: </w:t>
            </w:r>
            <w:r>
              <w:t xml:space="preserve">The eligible population for all Phase 2 and 3 start dates incorporates all those turning the target ages from 1 January of that year onwards</w:t>
            </w:r>
            <w:r>
              <w:t xml:space="preserve">.</w:t>
            </w:r>
          </w:p>
          <w:p>
            <w:r>
              <w:t xml:space="preserve"> </w:t>
            </w:r>
          </w:p>
          <w:p>
            <w:r>
              <w:t xml:space="preserve">Eligible Australians are sent an invitation to complete a free immunochemical faecal occult blood test (iFOBT) in the privacy of their own home and mail it to a pathology laboratory for analysis. Participants with a positive iFOBT result will be advised to discuss the result with their doctor, who will generally refer them for further investigations, usually a colonoscopy.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c189cd0209e94d47">
              <w:r>
                <w:rPr>
                  <w:rStyle w:val="Hyperlink"/>
                </w:rPr>
                <w:t xml:space="preserve">http://www.cancerscreening.gov.au/internet/screening/publishing.nsf/Content/bowel-screening-1</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6-monthly (register snapshot)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 November 2019, Medicare Australia (Medicare Australia merged with the Department of Human Services in 2011). From 1 November 2019, the Department of Health and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 contact details: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Aged Care, GPO Box 9848, Canberra ACT 2601, Australia</w:t>
            </w:r>
          </w:p>
        </w:tc>
      </w:tr>
    </w:tbl>
    <w:p>
      <w:r>
        <w:br/>
      </w:r>
    </w:p>
    <w:sectPr>
      <w:footerReference xmlns:r="http://schemas.openxmlformats.org/officeDocument/2006/relationships" w:type="default" r:id="R4802e232c6b94f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394277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c68013dad845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02e232c6b94f6d" /><Relationship Type="http://schemas.openxmlformats.org/officeDocument/2006/relationships/header" Target="/word/header1.xml" Id="R6151d7f176ab45b3" /><Relationship Type="http://schemas.openxmlformats.org/officeDocument/2006/relationships/settings" Target="/word/settings.xml" Id="R60e0f5a285fb4bbb" /><Relationship Type="http://schemas.openxmlformats.org/officeDocument/2006/relationships/styles" Target="/word/styles.xml" Id="R377ead28cfaf446a" /><Relationship Type="http://schemas.openxmlformats.org/officeDocument/2006/relationships/hyperlink" Target="http://www.cancerscreening.gov.au/internet/screening/publishing.nsf/Content/bowel-screening-1" TargetMode="External" Id="Rc189cd0209e94d47" /></Relationships>
</file>

<file path=word/_rels/header1.xml.rels>&#65279;<?xml version="1.0" encoding="utf-8"?><Relationships xmlns="http://schemas.openxmlformats.org/package/2006/relationships"><Relationship Type="http://schemas.openxmlformats.org/officeDocument/2006/relationships/image" Target="/media/image.png" Id="R7fc68013dad845b1" /></Relationships>
</file>