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f5d1ebd1724bcd" /></Relationships>
</file>

<file path=word/document.xml><?xml version="1.0" encoding="utf-8"?>
<w:document xmlns:r="http://schemas.openxmlformats.org/officeDocument/2006/relationships" xmlns:w="http://schemas.openxmlformats.org/wordprocessingml/2006/main">
  <w:body>
    <w:p>
      <w:pPr>
        <w:pStyle w:val="Title"/>
      </w:pPr>
      <w:r>
        <w:t>National Disability Agreement: f-Number of Indigenous people with disability receiving disability services as a proportion of the Indigenous potential population requiring services,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f-Number of Indigenous people with disability receiving disability services as a proportion of the Indigenous potential population requiring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people with disability receiving disability services as a proportion of the Indigenous potential population requiring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ad7b98bd544484">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6f5a9afb4846dc">
              <w:r>
                <w:rPr>
                  <w:rStyle w:val="Hyperlink"/>
                </w:rPr>
                <w:t xml:space="preserve">National Disability Agreement (2010)</w:t>
              </w:r>
            </w:hyperlink>
          </w:p>
          <w:p>
            <w:pPr>
              <w:spacing w:before="0" w:after="0"/>
            </w:pPr>
            <w:r>
              <w:rPr>
                <w:rStyle w:val="row-content"/>
                <w:color w:val="244061"/>
              </w:rPr>
              <w:t xml:space="preserve">       </w:t>
            </w:r>
            <w:hyperlink w:history="true" r:id="Rd57458094cd74292">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4faa79d51e14301">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98c8ffaa442e4956">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13d7400c336b40d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ad505384a664e65">
              <w:r>
                <w:rPr>
                  <w:rStyle w:val="Hyperlink"/>
                </w:rPr>
                <w:t xml:space="preserve">National Disability Agreement: f-Number of Indigenous people with disability receiving disability services as a proportion of the Indigenous potential population requiring services, 2010 QS</w:t>
              </w:r>
            </w:hyperlink>
          </w:p>
          <w:p>
            <w:pPr>
              <w:spacing w:before="0" w:after="0"/>
            </w:pPr>
            <w:r>
              <w:rPr>
                <w:rStyle w:val="row-content"/>
                <w:color w:val="244061"/>
              </w:rPr>
              <w:t xml:space="preserve">       </w:t>
            </w:r>
            <w:hyperlink w:history="true" r:id="R8939f285f1d847ed">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Indicators reporting on disability services funded by the Australian Government (employment services only) are restricted to the age range 15–64 years and not stated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Aboriginal and Torres Strait Islander people aged 0–64 years who used specialist disability services in the reporting period and N = estimated Indigenous potential population aged 0–64 years on 30 June at start of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people aged 0–64 years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0f03b125b09405f">
              <w:r>
                <w:rPr>
                  <w:rStyle w:val="Hyperlink"/>
                </w:rPr>
                <w:t xml:space="preserve">Disability Services National Minimum Data Set (DS NMDS)</w:t>
              </w:r>
            </w:hyperlink>
          </w:p>
          <w:p>
            <w:r>
              <w:rPr>
                <w:rStyle w:val="row-content"/>
                <w:b/>
              </w:rPr>
              <w:t xml:space="preserve">NMDS / DSS</w:t>
            </w:r>
          </w:p>
          <w:p>
            <w:hyperlink w:history="true" r:id="Rcf332a96154647f6">
              <w:r>
                <w:rPr>
                  <w:rStyle w:val="Hyperlink"/>
                </w:rPr>
                <w:t xml:space="preserve">Disability Services NMDS 2009-10</w:t>
              </w:r>
            </w:hyperlink>
          </w:p>
          <w:p>
            <w:r>
              <w:rPr>
                <w:rStyle w:val="row-content"/>
                <w:b/>
                <w:color w:val="000000"/>
              </w:rPr>
              <w:t xml:space="preserve">Data Element / Data Set</w:t>
            </w:r>
          </w:p>
          <w:p>
            <w:hyperlink w:history="true" r:id="R743eede677a04fe4">
              <w:r>
                <w:rPr>
                  <w:rStyle w:val="Hyperlink"/>
                </w:rPr>
                <w:t xml:space="preserve">Service episode—episode end date, DDMMYYYY</w:t>
              </w:r>
            </w:hyperlink>
          </w:p>
          <w:p>
            <w:r>
              <w:rPr>
                <w:rStyle w:val="row-content"/>
                <w:b/>
                <w:color w:val="000000"/>
              </w:rPr>
              <w:t xml:space="preserve">Data Element / Data Set</w:t>
            </w:r>
          </w:p>
          <w:p>
            <w:hyperlink w:history="true" r:id="Rc7a7aa22a942466d">
              <w:r>
                <w:rPr>
                  <w:rStyle w:val="Hyperlink"/>
                </w:rPr>
                <w:t xml:space="preserve">Person—Indigenous status, code N</w:t>
              </w:r>
            </w:hyperlink>
          </w:p>
          <w:p>
            <w:r>
              <w:rPr>
                <w:rStyle w:val="row-content"/>
                <w:b/>
                <w:color w:val="000000"/>
              </w:rPr>
              <w:t xml:space="preserve">Data Element / Data Set</w:t>
            </w:r>
          </w:p>
          <w:p>
            <w:hyperlink w:history="true" r:id="R17f6dacf1f854acb">
              <w:r>
                <w:rPr>
                  <w:rStyle w:val="Hyperlink"/>
                </w:rPr>
                <w:t xml:space="preserve">Person—age, total years N[NN]</w:t>
              </w:r>
            </w:hyperlink>
          </w:p>
          <w:p>
            <w:r>
              <w:rPr>
                <w:rStyle w:val="row-content"/>
                <w:b/>
                <w:color w:val="000000"/>
              </w:rPr>
              <w:t xml:space="preserve">Data Element / Data Set</w:t>
            </w:r>
          </w:p>
          <w:p>
            <w:hyperlink w:history="true" r:id="Rba0b6c5ad3334efe">
              <w:r>
                <w:rPr>
                  <w:rStyle w:val="Hyperlink"/>
                </w:rPr>
                <w:t xml:space="preserve">Service provider organisation—service activity type, CSTDA support service type code N.NN</w:t>
              </w:r>
            </w:hyperlink>
          </w:p>
          <w:p>
            <w:r>
              <w:rPr>
                <w:rStyle w:val="row-content"/>
                <w:b/>
                <w:color w:val="000000"/>
              </w:rPr>
              <w:t xml:space="preserve">Data Element / Data Set</w:t>
            </w:r>
          </w:p>
          <w:p>
            <w:hyperlink w:history="true" r:id="R028efccb47294e76">
              <w:r>
                <w:rPr>
                  <w:rStyle w:val="Hyperlink"/>
                </w:rPr>
                <w:t xml:space="preserve">Service event—last service provision 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disability services aged 0–64 years on 30 June at start of reporting period.</w:t>
            </w:r>
          </w:p>
          <w:p>
            <w:pPr>
              <w:spacing w:after="160"/>
            </w:pPr>
            <w:r>
              <w:rPr>
                <w:rStyle w:val="row-content-rich-text"/>
              </w:rPr>
              <w:t xml:space="preserve">Although the definition of potential population is under review by the National Disability Data Network, theNational Disability Information Management Group (NDIMG)agreed to adopt the conventional definition until the review completes. That is, people aged under 65 years with profound or severe core activity limitation will be used for the baseline CRC report.</w:t>
            </w:r>
          </w:p>
          <w:p>
            <w:pP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2010. That method incorporates 2006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f8effecdb0114a12">
              <w:r>
                <w:rPr>
                  <w:rStyle w:val="Hyperlink"/>
                </w:rPr>
                <w:t xml:space="preserve">ABS Survey of Disability, Ageing and Carers (SDAC), 2003</w:t>
              </w:r>
            </w:hyperlink>
          </w:p>
          <w:p>
            <w:r>
              <w:rPr>
                <w:rStyle w:val="row-content"/>
                <w:b/>
                <w:color w:val="000000"/>
              </w:rPr>
              <w:t xml:space="preserve">Data Element / Data Set</w:t>
            </w:r>
          </w:p>
          <w:p>
            <w:hyperlink w:history="true" r:id="Rf40b5e9840f14a31">
              <w:r>
                <w:rPr>
                  <w:rStyle w:val="Hyperlink"/>
                </w:rPr>
                <w:t xml:space="preserve">Person—age group, NDA code N</w:t>
              </w:r>
            </w:hyperlink>
          </w:p>
          <w:p>
            <w:r>
              <w:rPr>
                <w:rStyle w:val="row-content"/>
                <w:b/>
              </w:rPr>
              <w:t xml:space="preserve">Data Source</w:t>
            </w:r>
          </w:p>
          <w:p>
            <w:hyperlink w:history="true" r:id="R59a2197d56a54ad1">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83b7351baa3549c3">
              <w:r>
                <w:rPr>
                  <w:rStyle w:val="Hyperlink"/>
                </w:rPr>
                <w:t xml:space="preserve">Person—age group, NDA code N</w:t>
              </w:r>
            </w:hyperlink>
          </w:p>
          <w:p>
            <w:r>
              <w:rPr>
                <w:rStyle w:val="row-content"/>
                <w:b/>
              </w:rPr>
              <w:t xml:space="preserve">Data Source</w:t>
            </w:r>
          </w:p>
          <w:p>
            <w:hyperlink w:history="true" r:id="Rbd70d7fcd66a470d">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6bededa0de96437c">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d38d73e7240849bd">
              <w:r>
                <w:rPr>
                  <w:rStyle w:val="Hyperlink"/>
                </w:rPr>
                <w:t xml:space="preserve">ABS 2006 Census of Population and Housing</w:t>
              </w:r>
            </w:hyperlink>
          </w:p>
          <w:p>
            <w:r>
              <w:rPr>
                <w:rStyle w:val="row-content"/>
                <w:b/>
                <w:color w:val="000000"/>
              </w:rPr>
              <w:t xml:space="preserve">Data Element / Data Set</w:t>
            </w:r>
          </w:p>
          <w:p>
            <w:hyperlink w:history="true" r:id="Rcd17f363041347cb">
              <w:r>
                <w:rPr>
                  <w:rStyle w:val="Hyperlink"/>
                </w:rPr>
                <w:t xml:space="preserve">Person—Australian state/territory identifier, code N</w:t>
              </w:r>
            </w:hyperlink>
          </w:p>
          <w:p>
            <w:r>
              <w:rPr>
                <w:rStyle w:val="row-content"/>
                <w:b/>
              </w:rPr>
              <w:t xml:space="preserve">Data Source</w:t>
            </w:r>
          </w:p>
          <w:p>
            <w:hyperlink w:history="true" r:id="Rcc61fdc5d6ac46f7">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4de341aaf8ab43e7">
              <w:r>
                <w:rPr>
                  <w:rStyle w:val="Hyperlink"/>
                </w:rPr>
                <w:t xml:space="preserve">Person—sex, code N</w:t>
              </w:r>
            </w:hyperlink>
          </w:p>
          <w:p>
            <w:r>
              <w:rPr>
                <w:rStyle w:val="row-content"/>
                <w:b/>
              </w:rPr>
              <w:t xml:space="preserve">Data Source</w:t>
            </w:r>
          </w:p>
          <w:p>
            <w:hyperlink w:history="true" r:id="Ra944fb9fb18e4587">
              <w:r>
                <w:rPr>
                  <w:rStyle w:val="Hyperlink"/>
                </w:rPr>
                <w:t xml:space="preserve">ABS Survey of Disability, Ageing and Carers (SDAC), 2003</w:t>
              </w:r>
            </w:hyperlink>
          </w:p>
          <w:p>
            <w:r>
              <w:rPr>
                <w:rStyle w:val="row-content"/>
                <w:b/>
                <w:color w:val="000000"/>
              </w:rPr>
              <w:t xml:space="preserve">Data Element / Data Set</w:t>
            </w:r>
          </w:p>
          <w:p>
            <w:hyperlink w:history="true" r:id="R601b373e0d934190">
              <w:r>
                <w:rPr>
                  <w:rStyle w:val="Hyperlink"/>
                </w:rPr>
                <w:t xml:space="preserve">Person—sex, code N</w:t>
              </w:r>
            </w:hyperlink>
          </w:p>
          <w:p>
            <w:r>
              <w:rPr>
                <w:rStyle w:val="row-content"/>
                <w:b/>
              </w:rPr>
              <w:t xml:space="preserve">Data Source</w:t>
            </w:r>
          </w:p>
          <w:p>
            <w:hyperlink w:history="true" r:id="Rd7c1554f04594c02">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6409399665134ae3">
              <w:r>
                <w:rPr>
                  <w:rStyle w:val="Hyperlink"/>
                </w:rPr>
                <w:t xml:space="preserve">Person—sex, code N</w:t>
              </w:r>
            </w:hyperlink>
          </w:p>
          <w:p>
            <w:r>
              <w:rPr>
                <w:rStyle w:val="row-content"/>
                <w:b/>
              </w:rPr>
              <w:t xml:space="preserve">Data Source</w:t>
            </w:r>
          </w:p>
          <w:p>
            <w:hyperlink w:history="true" r:id="R2314ea30c85e4ad8">
              <w:r>
                <w:rPr>
                  <w:rStyle w:val="Hyperlink"/>
                </w:rPr>
                <w:t xml:space="preserve">ABS 2006 Census of Population and Housing</w:t>
              </w:r>
            </w:hyperlink>
          </w:p>
          <w:p>
            <w:r>
              <w:rPr>
                <w:rStyle w:val="row-content"/>
                <w:b/>
                <w:color w:val="000000"/>
              </w:rPr>
              <w:t xml:space="preserve">Data Element / Data Set</w:t>
            </w:r>
          </w:p>
          <w:p>
            <w:hyperlink w:history="true" r:id="R542fbed8bbe24316">
              <w:r>
                <w:rPr>
                  <w:rStyle w:val="Hyperlink"/>
                </w:rPr>
                <w:t xml:space="preserve">Person—Indigenous status, code N</w:t>
              </w:r>
            </w:hyperlink>
          </w:p>
          <w:p>
            <w:r>
              <w:rPr>
                <w:rStyle w:val="row-content"/>
                <w:b/>
              </w:rPr>
              <w:t xml:space="preserve">Data Source</w:t>
            </w:r>
          </w:p>
          <w:p>
            <w:hyperlink w:history="true" r:id="R2b9ebe06f63947ca">
              <w:r>
                <w:rPr>
                  <w:rStyle w:val="Hyperlink"/>
                </w:rPr>
                <w:t xml:space="preserve">ABS 2006 Census of Population and Housing</w:t>
              </w:r>
            </w:hyperlink>
          </w:p>
          <w:p>
            <w:r>
              <w:rPr>
                <w:rStyle w:val="row-content"/>
                <w:b/>
                <w:color w:val="000000"/>
              </w:rPr>
              <w:t xml:space="preserve">Data Element / Data Set</w:t>
            </w:r>
          </w:p>
          <w:p>
            <w:hyperlink w:history="true" r:id="R644c11b14207451f">
              <w:r>
                <w:rPr>
                  <w:rStyle w:val="Hyperlink"/>
                </w:rPr>
                <w:t xml:space="preserve">Person—age group, NDA code N</w:t>
              </w:r>
            </w:hyperlink>
          </w:p>
          <w:p>
            <w:r>
              <w:rPr>
                <w:rStyle w:val="row-content"/>
                <w:b/>
              </w:rPr>
              <w:t xml:space="preserve">Data Source</w:t>
            </w:r>
          </w:p>
          <w:p>
            <w:hyperlink w:history="true" r:id="R8251241741fa45df">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color w:val="000000"/>
              </w:rPr>
              <w:t xml:space="preserve">Data Element / Data Set</w:t>
            </w:r>
          </w:p>
          <w:p>
            <w:hyperlink w:history="true" r:id="R47280a3291f54baa">
              <w:r>
                <w:rPr>
                  <w:rStyle w:val="Hyperlink"/>
                </w:rPr>
                <w:t xml:space="preserve">Person—Australian state/territory identifier, code N</w:t>
              </w:r>
            </w:hyperlink>
          </w:p>
          <w:p>
            <w:r>
              <w:rPr>
                <w:rStyle w:val="row-content"/>
                <w:b/>
                <w:color w:val="000000"/>
              </w:rPr>
              <w:t xml:space="preserve">Data Element / Data Set</w:t>
            </w:r>
          </w:p>
          <w:p>
            <w:hyperlink w:history="true" r:id="R0b92cabfa3c04f42">
              <w:r>
                <w:rPr>
                  <w:rStyle w:val="Hyperlink"/>
                </w:rPr>
                <w:t xml:space="preserve">Person (address)—Australian postcode, code (Postcode datafile) {NNNN}</w:t>
              </w:r>
            </w:hyperlink>
          </w:p>
          <w:p>
            <w:r>
              <w:rPr>
                <w:rStyle w:val="row-content"/>
                <w:b/>
                <w:color w:val="000000"/>
              </w:rPr>
              <w:t xml:space="preserve">Data Element / Data Set</w:t>
            </w:r>
          </w:p>
          <w:p>
            <w:hyperlink w:history="true" r:id="Rdb1bb04076944f49">
              <w:r>
                <w:rPr>
                  <w:rStyle w:val="Hyperlink"/>
                </w:rPr>
                <w:t xml:space="preserve">Person—sex, code N</w:t>
              </w:r>
            </w:hyperlink>
          </w:p>
          <w:p>
            <w:r>
              <w:rPr>
                <w:rStyle w:val="row-content"/>
                <w:b/>
                <w:color w:val="000000"/>
              </w:rPr>
              <w:t xml:space="preserve">Data Element / Data Set</w:t>
            </w:r>
          </w:p>
          <w:p>
            <w:hyperlink w:history="true" r:id="Rfbccd341155b416f">
              <w:r>
                <w:rPr>
                  <w:rStyle w:val="Hyperlink"/>
                </w:rPr>
                <w:t xml:space="preserve">Person—age, total years N[NN]</w:t>
              </w:r>
            </w:hyperlink>
          </w:p>
          <w:p>
            <w:r>
              <w:rPr>
                <w:rStyle w:val="row-content"/>
                <w:b/>
                <w:color w:val="000000"/>
              </w:rPr>
              <w:t xml:space="preserve">Data Element / Data Set</w:t>
            </w:r>
          </w:p>
          <w:p>
            <w:hyperlink w:history="true" r:id="R8d4d4d52cd794850">
              <w:r>
                <w:rPr>
                  <w:rStyle w:val="Hyperlink"/>
                </w:rPr>
                <w:t xml:space="preserve">Service provider organisation—service activity type, CSTDA support service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service groups:</w:t>
            </w:r>
          </w:p>
          <w:p>
            <w:pPr>
              <w:spacing w:after="160"/>
            </w:pPr>
            <w:r>
              <w:rPr>
                <w:rStyle w:val="row-content-rich-text"/>
              </w:rPr>
              <w:t xml:space="preserve">1.Disability services funded by state/territory governments (excludes employment services)</w:t>
            </w:r>
          </w:p>
          <w:p>
            <w:pPr>
              <w:spacing w:after="160"/>
            </w:pPr>
            <w:r>
              <w:rPr>
                <w:rStyle w:val="row-content-rich-text"/>
              </w:rPr>
              <w:t xml:space="preserve">2.Disability services funded by the Australian Government (employment services only) (service types 5.01, 5.02 and 5.04)</w:t>
            </w:r>
          </w:p>
          <w:p>
            <w:pPr>
              <w:spacing w:after="160"/>
            </w:pPr>
            <w:r>
              <w:rPr>
                <w:rStyle w:val="row-content-rich-text"/>
              </w:rPr>
              <w:t xml:space="preserve">3.All disability services</w:t>
            </w:r>
          </w:p>
          <w:p>
            <w:pPr>
              <w:spacing w:after="160"/>
            </w:pPr>
            <w:r>
              <w:rPr>
                <w:rStyle w:val="row-content-rich-text"/>
              </w:rPr>
              <w:t xml:space="preserve">The following disaggregation will be presented for service groups 1 and 3 :</w:t>
            </w:r>
          </w:p>
          <w:p>
            <w:pPr>
              <w:pStyle w:val="ListParagraph"/>
              <w:numPr>
                <w:ilvl w:val="0"/>
                <w:numId w:val="2"/>
              </w:numPr>
            </w:pPr>
            <w:r>
              <w:rPr>
                <w:rStyle w:val="row-content-rich-text"/>
              </w:rPr>
              <w:t xml:space="preserve">State/territory by age group (0–4, 5–14, 15–24, 25–34, 35–44,45–54,55–64 years, subtotal 0–49 years, total)</w:t>
            </w:r>
            <w:r>
              <w:br/>
            </w:r>
          </w:p>
          <w:p>
            <w:pPr>
              <w:spacing w:after="160"/>
            </w:pPr>
            <w:r>
              <w:rPr>
                <w:rStyle w:val="row-content-rich-text"/>
              </w:rPr>
              <w:t xml:space="preserve">The following disaggregation will be presented for service group 2:</w:t>
            </w:r>
          </w:p>
          <w:p>
            <w:pPr>
              <w:pStyle w:val="ListParagraph"/>
              <w:numPr>
                <w:ilvl w:val="0"/>
                <w:numId w:val="3"/>
              </w:numPr>
            </w:pPr>
            <w:r>
              <w:rPr>
                <w:rStyle w:val="row-content-rich-text"/>
              </w:rPr>
              <w:t xml:space="preserve">State/territory by age group (15–24, 25–34, 35–44,45–54, 55–64 years, subtotal 15–49 years, total)</w:t>
            </w:r>
            <w:r>
              <w:br/>
            </w:r>
          </w:p>
          <w:p>
            <w:pPr>
              <w:spacing w:after="160"/>
            </w:pPr>
            <w:r>
              <w:rPr>
                <w:rStyle w:val="row-content-rich-text"/>
              </w:rPr>
              <w:t xml:space="preserve">The following disaggregations will be presented for all service groups:</w:t>
            </w:r>
          </w:p>
          <w:p>
            <w:pPr>
              <w:pStyle w:val="ListParagraph"/>
              <w:numPr>
                <w:ilvl w:val="0"/>
                <w:numId w:val="4"/>
              </w:numPr>
            </w:pPr>
            <w:r>
              <w:rPr>
                <w:rStyle w:val="row-content-rich-text"/>
              </w:rPr>
              <w:t xml:space="preserve">State/territory by sex (male, female, total)</w:t>
            </w:r>
            <w:r>
              <w:br/>
            </w:r>
          </w:p>
          <w:p>
            <w:pPr>
              <w:pStyle w:val="ListParagraph"/>
              <w:numPr>
                <w:ilvl w:val="0"/>
                <w:numId w:val="4"/>
              </w:numPr>
            </w:pPr>
            <w:r>
              <w:rPr>
                <w:rStyle w:val="row-content-rich-text"/>
              </w:rPr>
              <w:t xml:space="preserve">Remoteness Area (Major Cities, Inner Regional, other, total)</w:t>
            </w:r>
            <w:r>
              <w:br/>
            </w:r>
          </w:p>
          <w:p>
            <w:pPr>
              <w:pStyle w:val="ListParagraph"/>
              <w:numPr>
                <w:ilvl w:val="0"/>
                <w:numId w:val="4"/>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43a55968a34d0f">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97e051ac8114465">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4281693849eb4964">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682b8d28515469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f5dfd5f25cc432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(e) An increase in the proportion of Indigenous people with disability receiving disability service.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SDAC collects Indigenous status.Once the data are available, the  AIHW will investigate the possibility of further improvements to the calculation of Indigenous potential population.</w:t>
            </w:r>
          </w:p>
          <w:p>
            <w:pPr>
              <w:spacing w:after="160"/>
            </w:pPr>
            <w:r>
              <w:rPr>
                <w:rStyle w:val="row-content-rich-text"/>
              </w:rPr>
              <w:t xml:space="preserve">Classifications proposed above are appropriate for the current CSTDA/DS NMDS. Classifications will need to be reviewed in line with any future changes to the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Cells with numerator counts less than 5 will be suppressed.</w:t>
            </w:r>
          </w:p>
          <w:p>
            <w:pPr>
              <w:spacing w:after="160"/>
            </w:pPr>
            <w:r>
              <w:rPr>
                <w:rStyle w:val="row-content-rich-text"/>
              </w:rPr>
              <w:t xml:space="preserve">For service groups 1 and 3, people with age reported in the range 0 to 64 years and people with not stated age are included in calculations for this indicator. For service group 2, only people with age reported in the range 15 to 64 years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service groups 1 and 3:</w:t>
            </w:r>
          </w:p>
          <w:p>
            <w:pPr>
              <w:pStyle w:val="ListParagraph"/>
              <w:numPr>
                <w:ilvl w:val="0"/>
                <w:numId w:val="5"/>
              </w:numPr>
            </w:pPr>
            <w:r>
              <w:rPr>
                <w:rStyle w:val="row-content-rich-text"/>
              </w:rPr>
              <w:t xml:space="preserve">Age group: Subtotal includes people with known age only. Total includes people with ‘not stated’ age.</w:t>
            </w:r>
            <w:r>
              <w:br/>
            </w:r>
          </w:p>
          <w:p>
            <w:pPr>
              <w:spacing w:after="160"/>
            </w:pPr>
            <w:r>
              <w:rPr>
                <w:rStyle w:val="row-content-rich-text"/>
              </w:rPr>
              <w:t xml:space="preserve">For service group 2:</w:t>
            </w:r>
          </w:p>
          <w:p>
            <w:pPr>
              <w:pStyle w:val="ListParagraph"/>
              <w:numPr>
                <w:ilvl w:val="0"/>
                <w:numId w:val="6"/>
              </w:numPr>
            </w:pPr>
            <w:r>
              <w:rPr>
                <w:rStyle w:val="row-content-rich-text"/>
              </w:rPr>
              <w:t xml:space="preserve">Age group: Only people with known age will be included.</w:t>
            </w:r>
            <w:r>
              <w:br/>
            </w:r>
          </w:p>
          <w:p>
            <w:pPr>
              <w:spacing w:after="160"/>
            </w:pPr>
            <w:r>
              <w:rPr>
                <w:rStyle w:val="row-content-rich-text"/>
              </w:rPr>
              <w:t xml:space="preserve">For all service groups:</w:t>
            </w:r>
          </w:p>
          <w:p>
            <w:pPr>
              <w:pStyle w:val="ListParagraph"/>
              <w:numPr>
                <w:ilvl w:val="0"/>
                <w:numId w:val="7"/>
              </w:numPr>
            </w:pPr>
            <w:r>
              <w:rPr>
                <w:rStyle w:val="row-content-rich-text"/>
              </w:rPr>
              <w:t xml:space="preserve">Sex: Subtotal includes people with known sex only. Total includes people with ‘not stated’ sex.</w:t>
            </w:r>
            <w:r>
              <w:br/>
            </w:r>
          </w:p>
          <w:p>
            <w:pPr>
              <w:pStyle w:val="ListParagraph"/>
              <w:numPr>
                <w:ilvl w:val="0"/>
                <w:numId w:val="7"/>
              </w:numPr>
            </w:pPr>
            <w:r>
              <w:rPr>
                <w:rStyle w:val="row-content-rich-text"/>
              </w:rPr>
              <w:t xml:space="preserve">Country of birth: Other English speaking countries is the subtotal of Australia and other English speaking countries. Subtotal includes people with known country of birth only. Total includes people with ‘not stated’ country of birth.</w:t>
            </w:r>
            <w:r>
              <w:br/>
            </w:r>
          </w:p>
          <w:p>
            <w:pPr>
              <w:pStyle w:val="ListParagraph"/>
              <w:numPr>
                <w:ilvl w:val="0"/>
                <w:numId w:val="7"/>
              </w:numPr>
            </w:pPr>
            <w:r>
              <w:rPr>
                <w:rStyle w:val="row-content-rich-text"/>
              </w:rPr>
              <w:t xml:space="preserve">Remoteness: Other includes Outer Regional, Remote and Very Remote. Subtotal includes people with known remoteness only. Total includes people where remoteness was not able to be calculated.</w:t>
            </w:r>
            <w:r>
              <w:br/>
            </w:r>
          </w:p>
          <w:p>
            <w:pPr>
              <w:pStyle w:val="ListParagraph"/>
              <w:numPr>
                <w:ilvl w:val="0"/>
                <w:numId w:val="7"/>
              </w:numPr>
            </w:pPr>
            <w:r>
              <w:rPr>
                <w:rStyle w:val="row-content-rich-text"/>
              </w:rPr>
              <w:t xml:space="preserve">Need for assistance: Total needing assistance includes need forassistance in activities of daily living, activities of independent living and activities of work, education or community. Total includes service users with level of assistance not determined.</w:t>
            </w:r>
            <w:r>
              <w:br/>
            </w:r>
          </w:p>
          <w:p>
            <w:pPr/>
            <w:r>
              <w:rPr>
                <w:rStyle w:val="row-content-rich-text"/>
              </w:rPr>
              <w:t xml:space="preserve">Rates of severe / profound core activity limitation from the SDAC will be used in the calculation of the denominator. SDAC 2003 is the latest available source for these data. Previous investigations have shown that these rates are stable over time.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5db5954346433f">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f93a182da2174dea">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481673bae1654b88">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42eeea3ee4c84d23">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c66621c9bd93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0c287289a40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621c9bd934e31" /><Relationship Type="http://schemas.openxmlformats.org/officeDocument/2006/relationships/header" Target="/word/header1.xml" Id="Ra71330ad990c4287" /><Relationship Type="http://schemas.openxmlformats.org/officeDocument/2006/relationships/settings" Target="/word/settings.xml" Id="R514cec3e647e41af" /><Relationship Type="http://schemas.openxmlformats.org/officeDocument/2006/relationships/styles" Target="/word/styles.xml" Id="R7a905c01d7d64688" /><Relationship Type="http://schemas.openxmlformats.org/officeDocument/2006/relationships/hyperlink" Target="https://meteor.aihw.gov.au/RegistrationAuthority/1" TargetMode="External" Id="R24ad7b98bd544484" /><Relationship Type="http://schemas.openxmlformats.org/officeDocument/2006/relationships/hyperlink" Target="https://meteor.aihw.gov.au/content/393788" TargetMode="External" Id="Rbf6f5a9afb4846dc" /><Relationship Type="http://schemas.openxmlformats.org/officeDocument/2006/relationships/hyperlink" Target="https://meteor.aihw.gov.au/RegistrationAuthority/1" TargetMode="External" Id="Rd57458094cd74292" /><Relationship Type="http://schemas.openxmlformats.org/officeDocument/2006/relationships/hyperlink" Target="https://meteor.aihw.gov.au/content/393878" TargetMode="External" Id="Rb4faa79d51e14301" /><Relationship Type="http://schemas.openxmlformats.org/officeDocument/2006/relationships/hyperlink" Target="https://meteor.aihw.gov.au/RegistrationAuthority/1" TargetMode="External" Id="R98c8ffaa442e4956" /><Relationship Type="http://schemas.openxmlformats.org/officeDocument/2006/relationships/hyperlink" Target="https://meteor.aihw.gov.au/RegistrationAuthority/16" TargetMode="External" Id="R13d7400c336b40dc" /><Relationship Type="http://schemas.openxmlformats.org/officeDocument/2006/relationships/hyperlink" Target="https://meteor.aihw.gov.au/content/410235" TargetMode="External" Id="R9ad505384a664e65" /><Relationship Type="http://schemas.openxmlformats.org/officeDocument/2006/relationships/hyperlink" Target="https://meteor.aihw.gov.au/RegistrationAuthority/1" TargetMode="External" Id="R8939f285f1d847ed" /><Relationship Type="http://schemas.openxmlformats.org/officeDocument/2006/relationships/hyperlink" Target="https://meteor.aihw.gov.au/content/393884" TargetMode="External" Id="Ra0f03b125b09405f" /><Relationship Type="http://schemas.openxmlformats.org/officeDocument/2006/relationships/hyperlink" Target="https://meteor.aihw.gov.au/content/386485" TargetMode="External" Id="Rcf332a96154647f6" /><Relationship Type="http://schemas.openxmlformats.org/officeDocument/2006/relationships/hyperlink" Target="https://meteor.aihw.gov.au/content/270160" TargetMode="External" Id="R743eede677a04fe4" /><Relationship Type="http://schemas.openxmlformats.org/officeDocument/2006/relationships/hyperlink" Target="https://meteor.aihw.gov.au/content/291036" TargetMode="External" Id="Rc7a7aa22a942466d" /><Relationship Type="http://schemas.openxmlformats.org/officeDocument/2006/relationships/hyperlink" Target="https://meteor.aihw.gov.au/content/303794" TargetMode="External" Id="R17f6dacf1f854acb" /><Relationship Type="http://schemas.openxmlformats.org/officeDocument/2006/relationships/hyperlink" Target="https://meteor.aihw.gov.au/content/321276" TargetMode="External" Id="Rba0b6c5ad3334efe" /><Relationship Type="http://schemas.openxmlformats.org/officeDocument/2006/relationships/hyperlink" Target="https://meteor.aihw.gov.au/content/323253" TargetMode="External" Id="R028efccb47294e76" /><Relationship Type="http://schemas.openxmlformats.org/officeDocument/2006/relationships/hyperlink" Target="https://meteor.aihw.gov.au/content/393819" TargetMode="External" Id="Rf8effecdb0114a12" /><Relationship Type="http://schemas.openxmlformats.org/officeDocument/2006/relationships/hyperlink" Target="https://meteor.aihw.gov.au/content/386423" TargetMode="External" Id="Rf40b5e9840f14a31" /><Relationship Type="http://schemas.openxmlformats.org/officeDocument/2006/relationships/hyperlink" Target="https://meteor.aihw.gov.au/content/394092" TargetMode="External" Id="R59a2197d56a54ad1" /><Relationship Type="http://schemas.openxmlformats.org/officeDocument/2006/relationships/hyperlink" Target="https://meteor.aihw.gov.au/content/386423" TargetMode="External" Id="R83b7351baa3549c3" /><Relationship Type="http://schemas.openxmlformats.org/officeDocument/2006/relationships/hyperlink" Target="https://meteor.aihw.gov.au/content/394447" TargetMode="External" Id="Rbd70d7fcd66a470d" /><Relationship Type="http://schemas.openxmlformats.org/officeDocument/2006/relationships/hyperlink" Target="https://meteor.aihw.gov.au/content/394447" TargetMode="External" Id="R6bededa0de96437c" /><Relationship Type="http://schemas.openxmlformats.org/officeDocument/2006/relationships/hyperlink" Target="https://meteor.aihw.gov.au/content/394447" TargetMode="External" Id="Rd38d73e7240849bd" /><Relationship Type="http://schemas.openxmlformats.org/officeDocument/2006/relationships/hyperlink" Target="https://meteor.aihw.gov.au/content/286919" TargetMode="External" Id="Rcd17f363041347cb" /><Relationship Type="http://schemas.openxmlformats.org/officeDocument/2006/relationships/hyperlink" Target="https://meteor.aihw.gov.au/content/394092" TargetMode="External" Id="Rcc61fdc5d6ac46f7" /><Relationship Type="http://schemas.openxmlformats.org/officeDocument/2006/relationships/hyperlink" Target="https://meteor.aihw.gov.au/content/287316" TargetMode="External" Id="R4de341aaf8ab43e7" /><Relationship Type="http://schemas.openxmlformats.org/officeDocument/2006/relationships/hyperlink" Target="https://meteor.aihw.gov.au/content/393819" TargetMode="External" Id="Ra944fb9fb18e4587" /><Relationship Type="http://schemas.openxmlformats.org/officeDocument/2006/relationships/hyperlink" Target="https://meteor.aihw.gov.au/content/287316" TargetMode="External" Id="R601b373e0d934190" /><Relationship Type="http://schemas.openxmlformats.org/officeDocument/2006/relationships/hyperlink" Target="https://meteor.aihw.gov.au/content/394092" TargetMode="External" Id="Rd7c1554f04594c02" /><Relationship Type="http://schemas.openxmlformats.org/officeDocument/2006/relationships/hyperlink" Target="https://meteor.aihw.gov.au/content/287316" TargetMode="External" Id="R6409399665134ae3" /><Relationship Type="http://schemas.openxmlformats.org/officeDocument/2006/relationships/hyperlink" Target="https://meteor.aihw.gov.au/content/394447" TargetMode="External" Id="R2314ea30c85e4ad8" /><Relationship Type="http://schemas.openxmlformats.org/officeDocument/2006/relationships/hyperlink" Target="https://meteor.aihw.gov.au/content/291036" TargetMode="External" Id="R542fbed8bbe24316" /><Relationship Type="http://schemas.openxmlformats.org/officeDocument/2006/relationships/hyperlink" Target="https://meteor.aihw.gov.au/content/394447" TargetMode="External" Id="R2b9ebe06f63947ca" /><Relationship Type="http://schemas.openxmlformats.org/officeDocument/2006/relationships/hyperlink" Target="https://meteor.aihw.gov.au/content/386423" TargetMode="External" Id="R644c11b14207451f" /><Relationship Type="http://schemas.openxmlformats.org/officeDocument/2006/relationships/hyperlink" Target="https://meteor.aihw.gov.au/content/393819" TargetMode="External" Id="R8251241741fa45df" /><Relationship Type="http://schemas.openxmlformats.org/officeDocument/2006/relationships/hyperlink" Target="https://meteor.aihw.gov.au/content/286919" TargetMode="External" Id="R47280a3291f54baa" /><Relationship Type="http://schemas.openxmlformats.org/officeDocument/2006/relationships/hyperlink" Target="https://meteor.aihw.gov.au/content/287224" TargetMode="External" Id="R0b92cabfa3c04f42" /><Relationship Type="http://schemas.openxmlformats.org/officeDocument/2006/relationships/hyperlink" Target="https://meteor.aihw.gov.au/content/287316" TargetMode="External" Id="Rdb1bb04076944f49" /><Relationship Type="http://schemas.openxmlformats.org/officeDocument/2006/relationships/hyperlink" Target="https://meteor.aihw.gov.au/content/303794" TargetMode="External" Id="Rfbccd341155b416f" /><Relationship Type="http://schemas.openxmlformats.org/officeDocument/2006/relationships/hyperlink" Target="https://meteor.aihw.gov.au/content/321276" TargetMode="External" Id="R8d4d4d52cd794850" /><Relationship Type="http://schemas.openxmlformats.org/officeDocument/2006/relationships/numbering" Target="/word/numbering.xml" Id="R6b5c5672f41944a8" /><Relationship Type="http://schemas.openxmlformats.org/officeDocument/2006/relationships/hyperlink" Target="https://meteor.aihw.gov.au/content/393819" TargetMode="External" Id="R2f43a55968a34d0f" /><Relationship Type="http://schemas.openxmlformats.org/officeDocument/2006/relationships/hyperlink" Target="https://meteor.aihw.gov.au/content/393884" TargetMode="External" Id="Re97e051ac8114465" /><Relationship Type="http://schemas.openxmlformats.org/officeDocument/2006/relationships/hyperlink" Target="https://meteor.aihw.gov.au/content/394447" TargetMode="External" Id="R4281693849eb4964" /><Relationship Type="http://schemas.openxmlformats.org/officeDocument/2006/relationships/hyperlink" Target="https://meteor.aihw.gov.au/content/394092" TargetMode="External" Id="Rd682b8d285154693" /><Relationship Type="http://schemas.openxmlformats.org/officeDocument/2006/relationships/hyperlink" Target="https://meteor.aihw.gov.au/content/449223" TargetMode="External" Id="R8f5dfd5f25cc4324" /><Relationship Type="http://schemas.openxmlformats.org/officeDocument/2006/relationships/hyperlink" Target="https://meteor.aihw.gov.au/content/428753" TargetMode="External" Id="R905db5954346433f" /><Relationship Type="http://schemas.openxmlformats.org/officeDocument/2006/relationships/hyperlink" Target="https://meteor.aihw.gov.au/RegistrationAuthority/1" TargetMode="External" Id="Rf93a182da2174dea" /><Relationship Type="http://schemas.openxmlformats.org/officeDocument/2006/relationships/hyperlink" Target="https://meteor.aihw.gov.au/content/447040" TargetMode="External" Id="R481673bae1654b88" /><Relationship Type="http://schemas.openxmlformats.org/officeDocument/2006/relationships/hyperlink" Target="https://meteor.aihw.gov.au/RegistrationAuthority/1" TargetMode="External" Id="R42eeea3ee4c84d23" /></Relationships>
</file>

<file path=word/_rels/header1.xml.rels>&#65279;<?xml version="1.0" encoding="utf-8"?><Relationships xmlns="http://schemas.openxmlformats.org/package/2006/relationships"><Relationship Type="http://schemas.openxmlformats.org/officeDocument/2006/relationships/image" Target="/media/image.png" Id="Rb3b0c287289a40ba" /></Relationships>
</file>