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146493dceb438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P67-Capital expenditure on health and aged care facilities as a proportion of capital consumption expenditure on health and aged care facilities, 2010 QS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P67-Capital expenditure on health and aged care facilities as a proportion of capital consumption expenditure on health and aged care facilities,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266d152b744cbd">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Australian Institute of Health and Welfare (AIHW) health expenditure database is a comprehensive collection of expenditure data across all jurisdictions, and the private sector, and encompasses all areas of health expenditure from hospitals to medical services to public health activities.</w:t>
            </w:r>
          </w:p>
          <w:p>
            <w:pPr>
              <w:pStyle w:val="ListParagraph"/>
              <w:numPr>
                <w:ilvl w:val="0"/>
                <w:numId w:val="2"/>
              </w:numPr>
            </w:pPr>
            <w:r>
              <w:rPr>
                <w:rStyle w:val="row-content-rich-text"/>
              </w:rPr>
              <w:t xml:space="preserve">The indicator includes expenditure on publicly owned and/or controlled health and aged care facilities only. A very small amount of capital expenditure for the community aged care sector by state health authorities has been excluded, as it is so small it would be unreliable to report it.</w:t>
            </w:r>
          </w:p>
          <w:p>
            <w:pPr>
              <w:pStyle w:val="ListParagraph"/>
              <w:numPr>
                <w:ilvl w:val="0"/>
                <w:numId w:val="2"/>
              </w:numPr>
            </w:pPr>
            <w:r>
              <w:rPr>
                <w:rStyle w:val="row-content-rich-text"/>
              </w:rPr>
              <w:t xml:space="preserve">Expenditure by local government and non-government providers of health and aged care services are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has calculated this indicator.</w:t>
            </w:r>
          </w:p>
          <w:p>
            <w:pPr>
              <w:spacing w:after="160"/>
            </w:pPr>
            <w:r>
              <w:rPr>
                <w:rStyle w:val="row-content-rich-text"/>
              </w:rPr>
              <w:t xml:space="preserve">The AIHW is an independent statutory authority within the Health and Ageing portfolio, which is accountable to the Parliament of Australia through the Minister. For further information see the AIHW website.</w:t>
            </w:r>
          </w:p>
          <w:p>
            <w:pPr/>
            <w:r>
              <w:rPr>
                <w:rStyle w:val="row-content-rich-text"/>
              </w:rPr>
              <w:t xml:space="preserve">For information on the institutional environment of the Australian Bureau of Statistics (ABS), please see the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that are used in the development of this indicator are sourced from the AIHW’s health expenditure database. The AIHW publishes a number of products that draw upon its health expenditure database. Published products available on the AIHW website are:</w:t>
            </w:r>
          </w:p>
          <w:p>
            <w:pPr>
              <w:pStyle w:val="ListParagraph"/>
              <w:numPr>
                <w:ilvl w:val="0"/>
                <w:numId w:val="3"/>
              </w:numPr>
            </w:pPr>
            <w:r>
              <w:rPr>
                <w:rStyle w:val="row-content-rich-text"/>
                <w:i/>
              </w:rPr>
              <w:t xml:space="preserve">Health expenditure Australia</w:t>
            </w:r>
            <w:r>
              <w:rPr>
                <w:rStyle w:val="row-content-rich-text"/>
              </w:rPr>
              <w:t xml:space="preserve"> and associated Excel tables.</w:t>
            </w:r>
          </w:p>
          <w:p>
            <w:pPr>
              <w:pStyle w:val="ListParagraph"/>
              <w:numPr>
                <w:ilvl w:val="0"/>
                <w:numId w:val="3"/>
              </w:numPr>
            </w:pPr>
            <w:r>
              <w:rPr>
                <w:rStyle w:val="row-content-rich-text"/>
              </w:rPr>
              <w:t xml:space="preserve">Interactive data cubes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data from the Institute’s health expenditure database are published annually in </w:t>
            </w:r>
            <w:r>
              <w:rPr>
                <w:rStyle w:val="row-content-rich-text"/>
                <w:i/>
              </w:rPr>
              <w:t xml:space="preserve">Health expenditure Australia</w:t>
            </w:r>
            <w:r>
              <w:rPr>
                <w:rStyle w:val="row-content-rich-text"/>
              </w:rPr>
              <w:t xml:space="preserve"> (Chapter 6 and technical appendixes in the edition covering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health expenditure database is a comprehensive collection of expenditure data across all jurisdictions, and the private sector, and encompasses all areas of health expenditure from hospitals to medical services to public health activities.</w:t>
            </w:r>
          </w:p>
          <w:p>
            <w:pPr>
              <w:spacing w:after="160"/>
            </w:pPr>
            <w:r>
              <w:rPr>
                <w:rStyle w:val="row-content-rich-text"/>
              </w:rPr>
              <w:t xml:space="preserve">Capital expenditure represents additions to the gross capital stock for the health and aged care sector. Capital consumption (depreciation) represents subtractions from the gross capital stock. The ratio of the two therefore gives an indication of whether the gross capital stock is increasing or decreasing.</w:t>
            </w:r>
          </w:p>
          <w:p>
            <w:pPr/>
            <w:r>
              <w:rPr>
                <w:rStyle w:val="row-content-rich-text"/>
              </w:rPr>
              <w:t xml:space="preserve">The Government Finance Statistics (GFS) enables policy makers and users to analyse the financial operations and financial position of the public sector by the level of government, institutional sector or set of transactions.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estimates of capital expenditure and capital consumption for 2007–08 were derived from the GFS series published by the ABS.</w:t>
            </w:r>
          </w:p>
          <w:p>
            <w:pPr>
              <w:spacing w:after="160"/>
            </w:pPr>
            <w:r>
              <w:rPr>
                <w:rStyle w:val="row-content-rich-text"/>
              </w:rPr>
              <w:t xml:space="preserve">The system of GFS provides details of revenues, expenses, cash flows and assets and liabilities of the Australian public sector and comprises units which are owned by the Commonwealth, state and local governments. The Australian system of GFS is designed to provide statistical information on public sector entities in Australia classified in a uniform and systematic way.</w:t>
            </w:r>
          </w:p>
          <w:p>
            <w:pPr>
              <w:spacing w:after="160"/>
            </w:pPr>
            <w:r>
              <w:rPr>
                <w:rStyle w:val="row-content-rich-text"/>
              </w:rPr>
              <w:t xml:space="preserve">The system of GFS is based on international standards set out in the System of National Accounts 1993 (SNA93) and the International Monetary Fund's Government Finance Statistics Manual 2001 (GFSM 2001).</w:t>
            </w:r>
          </w:p>
          <w:p>
            <w:pPr>
              <w:spacing w:after="160"/>
            </w:pPr>
            <w:r>
              <w:rPr>
                <w:rStyle w:val="row-content-rich-text"/>
              </w:rPr>
              <w:t xml:space="preserve">The main influence on the accuracy of the ABS Government Finance Statistics data is non-sampling error. Non-sampling error arises from inaccuracies in collecting, recording and processing the data. The most significant of these errors are misreporting of data and processing errors. Every effort is made by the ABS to minimise error by working closely with data providers, training processing staff and having efficient data processing procedures.</w:t>
            </w:r>
          </w:p>
          <w:p>
            <w:pPr>
              <w:spacing w:after="160"/>
            </w:pPr>
            <w:r>
              <w:rPr>
                <w:rStyle w:val="row-content-rich-text"/>
              </w:rPr>
              <w:t xml:space="preserve">For practical reasons the ABS does not attempt to cover all economic activity of the public sector. Under-coverage can arise because units are omitted or because some activities are not covered. This only occurs when the economic activity of these units is relatively insignificant.</w:t>
            </w:r>
          </w:p>
          <w:p>
            <w:pPr/>
            <w:r>
              <w:rPr>
                <w:rStyle w:val="row-content-rich-text"/>
              </w:rPr>
              <w:t xml:space="preserve">Revisions are made as required as a result of new and updated information available from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here are consistent with what are published in </w:t>
            </w:r>
            <w:r>
              <w:rPr>
                <w:rStyle w:val="row-content-rich-text"/>
                <w:i/>
              </w:rPr>
              <w:t xml:space="preserve">Health expenditure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af53bdfb0ca4f90">
              <w:r>
                <w:rPr>
                  <w:rStyle w:val="Hyperlink"/>
                </w:rPr>
                <w:t xml:space="preserve">National Healthcare Agreement: PI 67-Capital expenditure on health and aged care facilities as a proportion of capital consumption expenditure on health and aged care facilities, 2011 QS</w:t>
              </w:r>
            </w:hyperlink>
          </w:p>
          <w:p>
            <w:pPr>
              <w:spacing w:before="0" w:after="0"/>
            </w:pPr>
            <w:r>
              <w:rPr>
                <w:rStyle w:val="row-content"/>
                <w:color w:val="244061"/>
              </w:rPr>
              <w:t xml:space="preserve">       </w:t>
            </w:r>
            <w:hyperlink w:history="true" r:id="Rbf62101ea6b049ab">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e285e0019a741d2">
              <w:r>
                <w:rPr>
                  <w:rStyle w:val="Hyperlink"/>
                </w:rPr>
                <w:t xml:space="preserve">National Healthcare Agreement: P67-Capital expenditure on health and aged care facilities as a proportion of capital consumption expenditure on health and aged care facilities, 2010</w:t>
              </w:r>
            </w:hyperlink>
          </w:p>
          <w:p>
            <w:pPr>
              <w:spacing w:before="0" w:after="0"/>
            </w:pPr>
            <w:r>
              <w:rPr>
                <w:rStyle w:val="row-content"/>
                <w:color w:val="244061"/>
              </w:rPr>
              <w:t xml:space="preserve">       </w:t>
            </w:r>
            <w:hyperlink w:history="true" r:id="Rda7c015441034c91">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ccf9f727429545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393098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b7252fea754b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f9f727429545fd" /><Relationship Type="http://schemas.openxmlformats.org/officeDocument/2006/relationships/header" Target="/word/header1.xml" Id="R7b66b9c7547e4262" /><Relationship Type="http://schemas.openxmlformats.org/officeDocument/2006/relationships/settings" Target="/word/settings.xml" Id="R7436ebad9d5e421e" /><Relationship Type="http://schemas.openxmlformats.org/officeDocument/2006/relationships/styles" Target="/word/styles.xml" Id="R7380a331d25a4a12" /><Relationship Type="http://schemas.openxmlformats.org/officeDocument/2006/relationships/hyperlink" Target="https://meteor.aihw.gov.au/RegistrationAuthority/12" TargetMode="External" Id="R11266d152b744cbd" /><Relationship Type="http://schemas.openxmlformats.org/officeDocument/2006/relationships/numbering" Target="/word/numbering.xml" Id="R0ed1012e975d48ec" /><Relationship Type="http://schemas.openxmlformats.org/officeDocument/2006/relationships/hyperlink" Target="https://meteor.aihw.gov.au/content/449089" TargetMode="External" Id="R0af53bdfb0ca4f90" /><Relationship Type="http://schemas.openxmlformats.org/officeDocument/2006/relationships/hyperlink" Target="https://meteor.aihw.gov.au/RegistrationAuthority/12" TargetMode="External" Id="Rbf62101ea6b049ab" /><Relationship Type="http://schemas.openxmlformats.org/officeDocument/2006/relationships/hyperlink" Target="https://meteor.aihw.gov.au/content/395147" TargetMode="External" Id="R3e285e0019a741d2" /><Relationship Type="http://schemas.openxmlformats.org/officeDocument/2006/relationships/hyperlink" Target="https://meteor.aihw.gov.au/RegistrationAuthority/12" TargetMode="External" Id="Rda7c015441034c91" /></Relationships>
</file>

<file path=word/_rels/header1.xml.rels>&#65279;<?xml version="1.0" encoding="utf-8"?><Relationships xmlns="http://schemas.openxmlformats.org/package/2006/relationships"><Relationship Type="http://schemas.openxmlformats.org/officeDocument/2006/relationships/image" Target="/media/image.png" Id="R1db7252fea754b6f" /></Relationships>
</file>