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2e09738668497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9bff197ee444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w:t>
            </w:r>
          </w:p>
          <w:p>
            <w:pPr>
              <w:pStyle w:val="ListParagraph"/>
              <w:numPr>
                <w:ilvl w:val="0"/>
                <w:numId w:val="2"/>
              </w:numPr>
            </w:pPr>
            <w:r>
              <w:rPr>
                <w:rStyle w:val="row-content-rich-text"/>
              </w:rPr>
              <w:t xml:space="preserve">Expenditure by local government and non-government providers of health and aged care services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Australian Bureau of Statistics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and technical appendixes in the edition covering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w:t>
            </w:r>
          </w:p>
          <w:p>
            <w:pPr/>
            <w:r>
              <w:rPr>
                <w:rStyle w:val="row-content-rich-text"/>
              </w:rPr>
              <w:t xml:space="preserve">The Government Finance Statistics (GFS) enables policy makers and users to analyse the financial operations and financial position of the public sector by the level of government, institutional sector or set of transactions.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2007–08 were derived from the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System of National Accounts 1993 (SNA93) and the International Monetary Fund's Government Finance Statistics Manual 2001 (GFSM 2001).</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3ac43dd1c0418b">
              <w:r>
                <w:rPr>
                  <w:rStyle w:val="Hyperlink"/>
                </w:rPr>
                <w:t xml:space="preserve">National Healthcare Agreement: PI 67-Capital expenditure on health and aged care facilities as a proportion of capital consumption expenditure on health and aged care facilities, 2011 QS</w:t>
              </w:r>
            </w:hyperlink>
          </w:p>
          <w:p>
            <w:pPr>
              <w:spacing w:before="0" w:after="0"/>
            </w:pPr>
            <w:r>
              <w:rPr>
                <w:rStyle w:val="row-content"/>
                <w:color w:val="244061"/>
              </w:rPr>
              <w:t xml:space="preserve">       </w:t>
            </w:r>
            <w:hyperlink w:history="true" r:id="R511b9b6c8dde469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18992e6159f4d7a">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64de50812a5942d9">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cf8aed2a24a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d972e84104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f8aed2a24a44e7" /><Relationship Type="http://schemas.openxmlformats.org/officeDocument/2006/relationships/header" Target="/word/header1.xml" Id="Rb977a4cb0017446f" /><Relationship Type="http://schemas.openxmlformats.org/officeDocument/2006/relationships/settings" Target="/word/settings.xml" Id="R5b351765a3df435c" /><Relationship Type="http://schemas.openxmlformats.org/officeDocument/2006/relationships/styles" Target="/word/styles.xml" Id="R8aeeefa0032e4da8" /><Relationship Type="http://schemas.openxmlformats.org/officeDocument/2006/relationships/hyperlink" Target="https://meteor.aihw.gov.au/RegistrationAuthority/12" TargetMode="External" Id="R5b89bff197ee444e" /><Relationship Type="http://schemas.openxmlformats.org/officeDocument/2006/relationships/numbering" Target="/word/numbering.xml" Id="R446b1642e2e84037" /><Relationship Type="http://schemas.openxmlformats.org/officeDocument/2006/relationships/hyperlink" Target="https://meteor.aihw.gov.au/content/449089" TargetMode="External" Id="Rbc3ac43dd1c0418b" /><Relationship Type="http://schemas.openxmlformats.org/officeDocument/2006/relationships/hyperlink" Target="https://meteor.aihw.gov.au/RegistrationAuthority/12" TargetMode="External" Id="R511b9b6c8dde4697" /><Relationship Type="http://schemas.openxmlformats.org/officeDocument/2006/relationships/hyperlink" Target="https://meteor.aihw.gov.au/content/395147" TargetMode="External" Id="Rb18992e6159f4d7a" /><Relationship Type="http://schemas.openxmlformats.org/officeDocument/2006/relationships/hyperlink" Target="https://meteor.aihw.gov.au/RegistrationAuthority/12" TargetMode="External" Id="R64de50812a5942d9" /></Relationships>
</file>

<file path=word/_rels/header1.xml.rels>&#65279;<?xml version="1.0" encoding="utf-8"?><Relationships xmlns="http://schemas.openxmlformats.org/package/2006/relationships"><Relationship Type="http://schemas.openxmlformats.org/officeDocument/2006/relationships/image" Target="/media/image.png" Id="R66d972e841044ddc" /></Relationships>
</file>