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0927a7ca4347d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P66-Proportion of health expenditure spent on public health,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P66-Proportion of health expenditure spent on public health,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116a13254e4300">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w:t>
            </w:r>
          </w:p>
          <w:p>
            <w:pPr>
              <w:pStyle w:val="ListParagraph"/>
              <w:numPr>
                <w:ilvl w:val="0"/>
                <w:numId w:val="2"/>
              </w:numPr>
            </w:pPr>
            <w:r>
              <w:rPr>
                <w:rStyle w:val="row-content-rich-text"/>
              </w:rPr>
              <w:t xml:space="preserve">The indicator excludes small amounts of expenditure by state and territory governments that are funded by non-government sources (in the form of fees-for-service, etc). This amounted in 2007-08 to $30 million out of $2,129 million (1.4%).</w:t>
            </w:r>
          </w:p>
          <w:p>
            <w:pPr>
              <w:pStyle w:val="ListParagraph"/>
              <w:numPr>
                <w:ilvl w:val="0"/>
                <w:numId w:val="2"/>
              </w:numPr>
            </w:pPr>
            <w:r>
              <w:rPr>
                <w:rStyle w:val="row-content-rich-text"/>
              </w:rPr>
              <w:t xml:space="preserve">The numerator includes only funding from the health departments in the various jurisdictions. It does not include activities undertaken, for example, in education departments that do not receive funding from the health department in a state or territory. It also excludes any expenditure on public health activities undertaken or funded by the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data that are incorporated into the AIHW health expenditure database were supplied by a variety of data providers, including the DVA and the Department of Health and Ageing (DoHA), state and territory health authorities, Private Health Insurance Administration Council (PHIAC), the Australian Bureau of Statistics (ABS) and injury compensation insurers.  In the case of medical services and benefit-paid pharmaceuticals, they are sourced from the Medicare and the Pharmaceutical Benefits Scheme statistics, respectively. Many of the ultimate sources of these data are the financial reporting systems of the various organisations.</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a number of products that draw upon its health expenditure database. Published products available on the AIHW website are:</w:t>
            </w:r>
          </w:p>
          <w:p>
            <w:pPr>
              <w:pStyle w:val="ListParagraph"/>
              <w:numPr>
                <w:ilvl w:val="0"/>
                <w:numId w:val="3"/>
              </w:numPr>
            </w:pPr>
            <w:r>
              <w:rPr>
                <w:rStyle w:val="row-content-rich-text"/>
                <w:i/>
              </w:rPr>
              <w:t xml:space="preserve">Health expenditure Australia</w:t>
            </w:r>
            <w:r>
              <w:rPr>
                <w:rStyle w:val="row-content-rich-text"/>
              </w:rPr>
              <w:t xml:space="preserve"> and associated Excel tables</w:t>
            </w:r>
          </w:p>
          <w:p>
            <w:pPr>
              <w:pStyle w:val="ListParagraph"/>
              <w:numPr>
                <w:ilvl w:val="0"/>
                <w:numId w:val="3"/>
              </w:numPr>
            </w:pPr>
            <w:r>
              <w:rPr>
                <w:rStyle w:val="row-content-rich-text"/>
                <w:i/>
              </w:rPr>
              <w:t xml:space="preserve">Public health expenditure Australia</w:t>
            </w:r>
            <w:r>
              <w:rPr>
                <w:rStyle w:val="row-content-rich-text"/>
              </w:rPr>
              <w:t xml:space="preserve"> and associated Excel tables</w:t>
            </w:r>
          </w:p>
          <w:p>
            <w:pPr>
              <w:pStyle w:val="ListParagraph"/>
              <w:numPr>
                <w:ilvl w:val="0"/>
                <w:numId w:val="3"/>
              </w:numPr>
            </w:pPr>
            <w:r>
              <w:rPr>
                <w:rStyle w:val="row-content-rich-text"/>
              </w:rPr>
              <w:t xml:space="preserve">Interactive data cubes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w:t>
            </w:r>
            <w:r>
              <w:rPr>
                <w:rStyle w:val="row-content-rich-text"/>
                <w:i/>
              </w:rPr>
              <w:t xml:space="preserve">Health expenditure Australia</w:t>
            </w:r>
            <w:r>
              <w:rPr>
                <w:rStyle w:val="row-content-rich-text"/>
              </w:rPr>
              <w:t xml:space="preserve"> (Chapter 6 &amp; technical appendixes in the edition covering 2007–08) and in Appendices A to C in </w:t>
            </w:r>
            <w:r>
              <w:rPr>
                <w:rStyle w:val="row-content-rich-text"/>
                <w:i/>
              </w:rPr>
              <w:t xml:space="preserve">Public health expenditure in Australia, 2007-08</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This indicator is regarded as a long-term indicator of public health effort and sustainability.</w:t>
            </w:r>
          </w:p>
          <w:p>
            <w:pPr>
              <w:spacing w:after="160"/>
            </w:pPr>
            <w:r>
              <w:rPr>
                <w:rStyle w:val="row-content-rich-text"/>
              </w:rPr>
              <w:t xml:space="preserve">Public health activities that are not the subject of funding by state and territory governments or the Australian Government through the major jurisdictional health departments are not included in the estimates on which the indicator is based.</w:t>
            </w:r>
          </w:p>
          <w:p>
            <w:pPr>
              <w:spacing w:after="160"/>
            </w:pPr>
            <w:r>
              <w:rPr>
                <w:rStyle w:val="row-content-rich-text"/>
              </w:rPr>
              <w:t xml:space="preserve">Public health expenditure in the indicator for 2007-08 excludes Australian Government expenditure on regulatory bodies such as the Therapeutic Goods Administration, Office of Gene Technology Regulator and National Industrial Chemicals Notification and Assessment Scheme that are largely funded from private revenues.</w:t>
            </w:r>
          </w:p>
          <w:p>
            <w:pPr/>
            <w:r>
              <w:rPr>
                <w:rStyle w:val="row-content-rich-text"/>
              </w:rPr>
              <w:t xml:space="preserve">Public health expenditure funded by the states and territories excludes $30 million funding by non-government sources that cannot be allocated to individual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develops, on advice from the National Public Health Expenditure Project’s Technical Advisory Committee, comprehensive guidelines to accompany the annual questionnaires that are sent to the Australian government and state and territory health departments. These guidelines assist in ensuring that the data provided are consistent and comprehensive across jurisdictions. The AIHW undertakes checking of the data including comparisons of jurisdictions and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are published in </w:t>
            </w:r>
            <w:r>
              <w:rPr>
                <w:rStyle w:val="row-content-rich-text"/>
                <w:i/>
              </w:rPr>
              <w:t xml:space="preserve">Public health expenditure in Australia 2007-08</w:t>
            </w:r>
            <w:r>
              <w:rPr>
                <w:rStyle w:val="row-content-rich-text"/>
              </w:rPr>
              <w:t xml:space="preserve"> and </w:t>
            </w:r>
            <w:r>
              <w:rPr>
                <w:rStyle w:val="row-content-rich-text"/>
                <w:i/>
              </w:rPr>
              <w:t xml:space="preserve">Health expenditure Australia 2007-08</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7d3d6d09834ae5">
              <w:r>
                <w:rPr>
                  <w:rStyle w:val="Hyperlink"/>
                </w:rPr>
                <w:t xml:space="preserve">National Healthcare Agreement: PI 66-Public health program expenditure as a proportion of total health expenditure, 2011 QS</w:t>
              </w:r>
            </w:hyperlink>
          </w:p>
          <w:p>
            <w:pPr>
              <w:spacing w:before="0" w:after="0"/>
            </w:pPr>
            <w:r>
              <w:rPr>
                <w:rStyle w:val="row-content"/>
                <w:color w:val="244061"/>
              </w:rPr>
              <w:t xml:space="preserve">       </w:t>
            </w:r>
            <w:hyperlink w:history="true" r:id="R281a92fa2d9644c9">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8c2dd1700364f44">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26b7fd81a1cb46e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d2610495631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393096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2487cecc1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6104956314fe0" /><Relationship Type="http://schemas.openxmlformats.org/officeDocument/2006/relationships/header" Target="/word/header1.xml" Id="R4c3f344721da492f" /><Relationship Type="http://schemas.openxmlformats.org/officeDocument/2006/relationships/settings" Target="/word/settings.xml" Id="Rf42e00d1cf6c4657" /><Relationship Type="http://schemas.openxmlformats.org/officeDocument/2006/relationships/styles" Target="/word/styles.xml" Id="R3702ca7787ca4db0" /><Relationship Type="http://schemas.openxmlformats.org/officeDocument/2006/relationships/hyperlink" Target="https://meteor.aihw.gov.au/RegistrationAuthority/12" TargetMode="External" Id="R3b116a13254e4300" /><Relationship Type="http://schemas.openxmlformats.org/officeDocument/2006/relationships/numbering" Target="/word/numbering.xml" Id="R98c4b6d91b86461c" /><Relationship Type="http://schemas.openxmlformats.org/officeDocument/2006/relationships/hyperlink" Target="https://meteor.aihw.gov.au/content/449086" TargetMode="External" Id="R427d3d6d09834ae5" /><Relationship Type="http://schemas.openxmlformats.org/officeDocument/2006/relationships/hyperlink" Target="https://meteor.aihw.gov.au/RegistrationAuthority/12" TargetMode="External" Id="R281a92fa2d9644c9" /><Relationship Type="http://schemas.openxmlformats.org/officeDocument/2006/relationships/hyperlink" Target="https://meteor.aihw.gov.au/content/395143" TargetMode="External" Id="Ra8c2dd1700364f44" /><Relationship Type="http://schemas.openxmlformats.org/officeDocument/2006/relationships/hyperlink" Target="https://meteor.aihw.gov.au/RegistrationAuthority/12" TargetMode="External" Id="R26b7fd81a1cb46e2" /></Relationships>
</file>

<file path=word/_rels/header1.xml.rels>&#65279;<?xml version="1.0" encoding="utf-8"?><Relationships xmlns="http://schemas.openxmlformats.org/package/2006/relationships"><Relationship Type="http://schemas.openxmlformats.org/officeDocument/2006/relationships/image" Target="/media/image.png" Id="R9f82487cecc14e34" /></Relationships>
</file>