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c7eb82ed5441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P62-Hospitalisation for injury and poisoning,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P62-Hospitalisation for injury and poisoning,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bf210c030442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diagnoses are recorded uniformly using the International Statistical Classification of Diseases and Related Health Problems, 10th revision, Australian modification.</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for the ACT.</w:t>
            </w:r>
          </w:p>
          <w:p>
            <w:pPr>
              <w:pStyle w:val="ListParagraph"/>
              <w:numPr>
                <w:ilvl w:val="0"/>
                <w:numId w:val="2"/>
              </w:numPr>
            </w:pPr>
            <w:r>
              <w:rPr>
                <w:rStyle w:val="row-content-rich-text"/>
              </w:rPr>
              <w:t xml:space="preserve">The hospital separations data do not include injuries that are treated in the emergency department and do not require admission to hospital.</w:t>
            </w:r>
          </w:p>
          <w:p>
            <w:pPr>
              <w:pStyle w:val="ListParagraph"/>
              <w:numPr>
                <w:ilvl w:val="0"/>
                <w:numId w:val="2"/>
              </w:numPr>
            </w:pPr>
            <w:r>
              <w:rPr>
                <w:rStyle w:val="row-content-rich-text"/>
              </w:rPr>
              <w:t xml:space="preserve">Multiple separations may arise from a single injury or poisoning event.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0f56634ebba54f10">
              <w:r>
                <w:rPr>
                  <w:rStyle w:val="Hyperlink"/>
                </w:rPr>
                <w:t xml:space="preserve">http://www.aihw.gov.au/committees/simc/final_nhia_signed.doc</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 Hospital separations data do not include injuries that are treated in the emergency department that do not require admission to hospital. Multiple separations may arise from a single injury or poisoning event.</w:t>
            </w:r>
          </w:p>
          <w:p>
            <w:pPr>
              <w:spacing w:after="160"/>
            </w:pPr>
            <w:r>
              <w:rPr>
                <w:rStyle w:val="row-content-rich-text"/>
              </w:rPr>
              <w:t xml:space="preserve">The hospital separations data do not include injuries that are treated in the emergency department and do not require admission to hospital.</w:t>
            </w:r>
          </w:p>
          <w:p>
            <w:pPr>
              <w:spacing w:after="160"/>
            </w:pPr>
            <w:r>
              <w:rPr>
                <w:rStyle w:val="row-content-rich-text"/>
              </w:rPr>
              <w:t xml:space="preserve">Multiple separations may arise from a single injury or poisoning event.</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Separations are reported by jurisdiction of hospitalisation. The injury event will not necessarily have occurred in the state or territory of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the states and territories prior to submission ot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Data on diagnoses are recorded uniformly using the International Statistical Classification of Diseases and Related Health Problems, 10th revision, Australian modification.</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6d6439f8304d93">
              <w:r>
                <w:rPr>
                  <w:rStyle w:val="Hyperlink"/>
                </w:rPr>
                <w:t xml:space="preserve">National Healthcare Agreement: PI 62: Hospitalisation for injury and poisoning, 2011 QS</w:t>
              </w:r>
            </w:hyperlink>
          </w:p>
          <w:p>
            <w:pPr>
              <w:spacing w:before="0" w:after="0"/>
            </w:pPr>
            <w:r>
              <w:rPr>
                <w:rStyle w:val="row-content"/>
                <w:color w:val="244061"/>
              </w:rPr>
              <w:t xml:space="preserve">       </w:t>
            </w:r>
            <w:hyperlink w:history="true" r:id="R82b712c2ebdf4d4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9e8755ec7dc4480">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e9cca42bfafa4bb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28cc8bd3444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3e8dab067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cc8bd34444909" /><Relationship Type="http://schemas.openxmlformats.org/officeDocument/2006/relationships/header" Target="/word/header1.xml" Id="R66e5183ade734ef5" /><Relationship Type="http://schemas.openxmlformats.org/officeDocument/2006/relationships/settings" Target="/word/settings.xml" Id="Rc741566836974785" /><Relationship Type="http://schemas.openxmlformats.org/officeDocument/2006/relationships/styles" Target="/word/styles.xml" Id="R62beac8f9c484a38" /><Relationship Type="http://schemas.openxmlformats.org/officeDocument/2006/relationships/hyperlink" Target="https://meteor.aihw.gov.au/RegistrationAuthority/12" TargetMode="External" Id="R611bf210c0304423" /><Relationship Type="http://schemas.openxmlformats.org/officeDocument/2006/relationships/numbering" Target="/word/numbering.xml" Id="R93f5cb36cf5b427e" /><Relationship Type="http://schemas.openxmlformats.org/officeDocument/2006/relationships/hyperlink" Target="http://www.aihw.gov.au/committees/simc/final_nhia_signed.doc" TargetMode="External" Id="R0f56634ebba54f10" /><Relationship Type="http://schemas.openxmlformats.org/officeDocument/2006/relationships/hyperlink" Target="https://meteor.aihw.gov.au/content/448962" TargetMode="External" Id="R9c6d6439f8304d93" /><Relationship Type="http://schemas.openxmlformats.org/officeDocument/2006/relationships/hyperlink" Target="https://meteor.aihw.gov.au/RegistrationAuthority/12" TargetMode="External" Id="R82b712c2ebdf4d48" /><Relationship Type="http://schemas.openxmlformats.org/officeDocument/2006/relationships/hyperlink" Target="https://meteor.aihw.gov.au/content/395105" TargetMode="External" Id="R59e8755ec7dc4480" /><Relationship Type="http://schemas.openxmlformats.org/officeDocument/2006/relationships/hyperlink" Target="https://meteor.aihw.gov.au/RegistrationAuthority/12" TargetMode="External" Id="Re9cca42bfafa4bb3" /></Relationships>
</file>

<file path=word/_rels/header1.xml.rels>&#65279;<?xml version="1.0" encoding="utf-8"?><Relationships xmlns="http://schemas.openxmlformats.org/package/2006/relationships"><Relationship Type="http://schemas.openxmlformats.org/officeDocument/2006/relationships/image" Target="/media/image.png" Id="R5223e8dab0674017" /></Relationships>
</file>