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23317e410140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P57-Hospital patient days used by those eligible and waiting for residential aged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P57-Hospital patient days used by those eligible and waiting for residential aged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75cd6cd3742c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not a count of patient days used by those eligible and waiting for residential aged care. The indicator is presented as a proportion of total separations for persons in the older age groups and cannot be interpreted as a volume of activity. In addition, the diagnosis codes are not specific for identifying patients eligible and waiting for residential aged care, and patient days that should be counted could occur in separations that are shorter than 35 days.</w:t>
            </w:r>
          </w:p>
          <w:p>
            <w:pPr>
              <w:pStyle w:val="ListParagraph"/>
              <w:numPr>
                <w:ilvl w:val="0"/>
                <w:numId w:val="2"/>
              </w:numPr>
            </w:pPr>
            <w:r>
              <w:rPr>
                <w:rStyle w:val="row-content-rich-text"/>
              </w:rPr>
              <w:t xml:space="preserve">There is some variation among jurisdictions in the assignment of care type categories.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Steering Committee for the Review of Government Service Provision has sourced this indicator from the draft </w:t>
            </w:r>
            <w:r>
              <w:rPr>
                <w:rStyle w:val="row-content-rich-text"/>
                <w:i/>
              </w:rPr>
              <w:t xml:space="preserve">Report on Government Services 2010</w:t>
            </w:r>
            <w:r>
              <w:rPr>
                <w:rStyle w:val="row-content-rich-text"/>
              </w:rPr>
              <w:t xml:space="preserve">. The indicator was calculated by the Australian Institute of Health and Welfare (AIHW) and provided to the Steering Committee for the Report on Government Services 2010</w:t>
            </w:r>
            <w:r>
              <w:rPr>
                <w:rStyle w:val="row-content-rich-text"/>
                <w:i/>
              </w:rPr>
              <w:t xml:space="preserv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18c13e738fe6467e">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 </w:t>
            </w:r>
            <w:r>
              <w:rPr>
                <w:rStyle w:val="row-content-rich-text"/>
              </w:rPr>
              <w:t xml:space="preserve">(technical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Admitted Patient Care National Minimum Data Set (APC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APC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indicator as presented is not a count of patient days used by those eligible and waiting for residential aged care. The indicator is presented as a proportion of total separations for persons in the older age groups, and cannot be interpreted as a volume of activity. In addition, the diagnosis codes are not specific for identifying patients eligible and waiting for residential aged care, and patient days that should be counted could occur in separations that are shorter than 35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National Hospital Morbidity Database, with the exception of a mothercraft hospital in the ACT. The great majority of private hospitals also provided data, except for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the AIHW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r>
              <w:br/>
            </w:r>
            <w:r>
              <w:rPr>
                <w:rStyle w:val="row-content-rich-text"/>
              </w:rPr>
              <w:t xml:space="preserve">There is some variation among jurisdictions in the assignment of care type categories.</w:t>
            </w:r>
          </w:p>
          <w:p>
            <w:pPr/>
            <w:r>
              <w:rPr>
                <w:rStyle w:val="row-content-rich-text"/>
              </w:rPr>
              <w:t xml:space="preserve">Although the diagnosis codes reflect a care type, they do not determine a person’s eligibility for residential aged care. The code ‘need for assistance at home and no other household member able to render care’ may also be used for respite care for either residential or community care patients. Diagnosis codes may not be applied consistently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ac841b71324303">
              <w:r>
                <w:rPr>
                  <w:rStyle w:val="Hyperlink"/>
                </w:rPr>
                <w:t xml:space="preserve">National Healthcare Agreement: PI 57: Hospital patient days used by those eligible and waiting for residential aged care, 2011 QS</w:t>
              </w:r>
            </w:hyperlink>
          </w:p>
          <w:p>
            <w:pPr>
              <w:spacing w:before="0" w:after="0"/>
            </w:pPr>
            <w:r>
              <w:rPr>
                <w:rStyle w:val="row-content"/>
                <w:color w:val="244061"/>
              </w:rPr>
              <w:t xml:space="preserve">       </w:t>
            </w:r>
            <w:hyperlink w:history="true" r:id="Rb4480cc63f734fd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8dd239d8d9146ec">
              <w:r>
                <w:rPr>
                  <w:rStyle w:val="Hyperlink"/>
                </w:rPr>
                <w:t xml:space="preserve">National Healthcare Agreement: P57-Hospital patient days used by those eligible and waiting for residential aged care, 2010</w:t>
              </w:r>
            </w:hyperlink>
          </w:p>
          <w:p>
            <w:pPr>
              <w:spacing w:before="0" w:after="0"/>
            </w:pPr>
            <w:r>
              <w:rPr>
                <w:rStyle w:val="row-content"/>
                <w:color w:val="244061"/>
              </w:rPr>
              <w:t xml:space="preserve">       </w:t>
            </w:r>
            <w:hyperlink w:history="true" r:id="Rbdf394a78b52490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ee210a99894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ed9b30028e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210a998944378" /><Relationship Type="http://schemas.openxmlformats.org/officeDocument/2006/relationships/header" Target="/word/header1.xml" Id="Rac44352cd98c41ed" /><Relationship Type="http://schemas.openxmlformats.org/officeDocument/2006/relationships/settings" Target="/word/settings.xml" Id="R3366b62d52b7488e" /><Relationship Type="http://schemas.openxmlformats.org/officeDocument/2006/relationships/styles" Target="/word/styles.xml" Id="Rdf124fdf000c41b0" /><Relationship Type="http://schemas.openxmlformats.org/officeDocument/2006/relationships/hyperlink" Target="https://meteor.aihw.gov.au/RegistrationAuthority/12" TargetMode="External" Id="Rf9d75cd6cd3742cb" /><Relationship Type="http://schemas.openxmlformats.org/officeDocument/2006/relationships/numbering" Target="/word/numbering.xml" Id="R55b39d17f9574e90" /><Relationship Type="http://schemas.openxmlformats.org/officeDocument/2006/relationships/hyperlink" Target="http://www.aihw.gov.au/committees/simc/final_nhia_signed.doc" TargetMode="External" Id="R18c13e738fe6467e" /><Relationship Type="http://schemas.openxmlformats.org/officeDocument/2006/relationships/hyperlink" Target="https://meteor.aihw.gov.au/content/448905" TargetMode="External" Id="R64ac841b71324303" /><Relationship Type="http://schemas.openxmlformats.org/officeDocument/2006/relationships/hyperlink" Target="https://meteor.aihw.gov.au/RegistrationAuthority/12" TargetMode="External" Id="Rb4480cc63f734fdf" /><Relationship Type="http://schemas.openxmlformats.org/officeDocument/2006/relationships/hyperlink" Target="https://meteor.aihw.gov.au/content/400221" TargetMode="External" Id="R58dd239d8d9146ec" /><Relationship Type="http://schemas.openxmlformats.org/officeDocument/2006/relationships/hyperlink" Target="https://meteor.aihw.gov.au/RegistrationAuthority/12" TargetMode="External" Id="Rbdf394a78b524908" /></Relationships>
</file>

<file path=word/_rels/header1.xml.rels>&#65279;<?xml version="1.0" encoding="utf-8"?><Relationships xmlns="http://schemas.openxmlformats.org/package/2006/relationships"><Relationship Type="http://schemas.openxmlformats.org/officeDocument/2006/relationships/image" Target="/media/image.png" Id="R28ed9b30028e4e65" /></Relationships>
</file>