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5c5c32d99240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P56-People aged 65 years or over receiving sub-acute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P56-People aged 65 years or over receiving sub-acute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2015d180d488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There is some variation among jurisdictions in the assignment of care type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11f827a206e34385">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Admitted Patient Care National Minimum Data Set (APC NMDS)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(SLA)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p>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7568883c5143aa">
              <w:r>
                <w:rPr>
                  <w:rStyle w:val="Hyperlink"/>
                </w:rPr>
                <w:t xml:space="preserve">National Healthcare Agreement: PI 56: People aged 65 years or over receiving sub-acute services, 2011 QS</w:t>
              </w:r>
            </w:hyperlink>
          </w:p>
          <w:p>
            <w:pPr>
              <w:spacing w:before="0" w:after="0"/>
            </w:pPr>
            <w:r>
              <w:rPr>
                <w:rStyle w:val="row-content"/>
                <w:color w:val="244061"/>
              </w:rPr>
              <w:t xml:space="preserve">       </w:t>
            </w:r>
            <w:hyperlink w:history="true" r:id="Re876901fa74d461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ef248a819b4e58">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1f19edff8a684bd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b8fcd840c4d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019de43e2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fcd840c4d4ab3" /><Relationship Type="http://schemas.openxmlformats.org/officeDocument/2006/relationships/header" Target="/word/header1.xml" Id="R8aabe59ccafd479b" /><Relationship Type="http://schemas.openxmlformats.org/officeDocument/2006/relationships/settings" Target="/word/settings.xml" Id="Rd292d88b3dc14682" /><Relationship Type="http://schemas.openxmlformats.org/officeDocument/2006/relationships/styles" Target="/word/styles.xml" Id="R58f1159f5d914dd1" /><Relationship Type="http://schemas.openxmlformats.org/officeDocument/2006/relationships/hyperlink" Target="https://meteor.aihw.gov.au/RegistrationAuthority/12" TargetMode="External" Id="Ra7b2015d180d488e" /><Relationship Type="http://schemas.openxmlformats.org/officeDocument/2006/relationships/numbering" Target="/word/numbering.xml" Id="R81a4ceec373d455e" /><Relationship Type="http://schemas.openxmlformats.org/officeDocument/2006/relationships/hyperlink" Target="http://www.aihw.gov.au/committees/simc/final_nhia_signed.doc" TargetMode="External" Id="R11f827a206e34385" /><Relationship Type="http://schemas.openxmlformats.org/officeDocument/2006/relationships/hyperlink" Target="https://meteor.aihw.gov.au/content/448903" TargetMode="External" Id="Rb97568883c5143aa" /><Relationship Type="http://schemas.openxmlformats.org/officeDocument/2006/relationships/hyperlink" Target="https://meteor.aihw.gov.au/RegistrationAuthority/12" TargetMode="External" Id="Re876901fa74d461c" /><Relationship Type="http://schemas.openxmlformats.org/officeDocument/2006/relationships/hyperlink" Target="https://meteor.aihw.gov.au/content/400219" TargetMode="External" Id="R87ef248a819b4e58" /><Relationship Type="http://schemas.openxmlformats.org/officeDocument/2006/relationships/hyperlink" Target="https://meteor.aihw.gov.au/RegistrationAuthority/12" TargetMode="External" Id="R1f19edff8a684bda" /></Relationships>
</file>

<file path=word/_rels/header1.xml.rels>&#65279;<?xml version="1.0" encoding="utf-8"?><Relationships xmlns="http://schemas.openxmlformats.org/package/2006/relationships"><Relationship Type="http://schemas.openxmlformats.org/officeDocument/2006/relationships/image" Target="/media/image.png" Id="R74f019de43e24731" /></Relationships>
</file>