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12d5df78374d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P54-Aged care assessments completed,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P54-Aged care assessments completed,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155f82f664ad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data collection is used for approval for clients to access Australian Government-funded aged care programs and coverage of clients is comprehensive.</w:t>
            </w:r>
          </w:p>
          <w:p>
            <w:pPr>
              <w:pStyle w:val="ListParagraph"/>
              <w:numPr>
                <w:ilvl w:val="0"/>
                <w:numId w:val="2"/>
              </w:numPr>
            </w:pPr>
            <w:r>
              <w:rPr>
                <w:rStyle w:val="row-content-rich-text"/>
              </w:rPr>
              <w:t xml:space="preserve">This indicator does not represent all assessment activity undertaken by Aged Care Assessment Teams (ACATs), only those completed. Note that completed assessments include both assessments where the delegate has and has not approved the client to receive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Assessment Teams (ACATs) are funded and governed through a cooperative working agreement between the Australian and state and territory governments. Submitting data to the Aged Care Assessment Program National Minimum Data Set (ACAP NMDS) is a condition of ACATs receiving Commonwealth funding. ACAT teams submit their data to the state evaluation unit. The state evaluation unit submits their data to the ACAP National Data Repository managed by the Department of Health and Ageing.</w:t>
            </w:r>
          </w:p>
          <w:p>
            <w:pPr/>
            <w:r>
              <w:rPr>
                <w:rStyle w:val="row-content-rich-text"/>
              </w:rPr>
              <w:t xml:space="preserve">The tables for this indicator were prepared by the Department of Health and Ageing. The data quality statement was developed by the Department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 Data are provided to the NMDS on a quarterly basis. The data are available for any financial year by June the following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from the ACAP NMDS are published in the Productivity Commission’s </w:t>
            </w:r>
            <w:r>
              <w:rPr>
                <w:rStyle w:val="row-content-rich-text"/>
                <w:i/>
              </w:rPr>
              <w:t xml:space="preserve">Report on Government Services</w:t>
            </w:r>
            <w:r>
              <w:rPr>
                <w:rStyle w:val="row-content-rich-text"/>
              </w:rPr>
              <w:t xml:space="preserve">, and in the </w:t>
            </w:r>
            <w:r>
              <w:rPr>
                <w:rStyle w:val="row-content-rich-text"/>
                <w:i/>
              </w:rPr>
              <w:t xml:space="preserve">Reports on the Operation of the Aged Care Act 1997</w:t>
            </w:r>
            <w:r>
              <w:rPr>
                <w:rStyle w:val="row-content-rich-text"/>
              </w:rPr>
              <w:t xml:space="preserve"> prepared by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Assessment and Approval Guidelines 2006</w:t>
            </w:r>
            <w:r>
              <w:rPr>
                <w:rStyle w:val="row-content-rich-text"/>
              </w:rPr>
              <w:t xml:space="preserve"> and the </w:t>
            </w:r>
            <w:r>
              <w:rPr>
                <w:rStyle w:val="row-content-rich-text"/>
                <w:i/>
              </w:rPr>
              <w:t xml:space="preserve">ACAP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collection provides complete coverage of the Aged Care Assessment Program.</w:t>
            </w:r>
          </w:p>
          <w:p>
            <w:pPr/>
            <w:r>
              <w:rPr>
                <w:rStyle w:val="row-content-rich-text"/>
              </w:rPr>
              <w:t xml:space="preserve">This indicator does not represent all assessment activity undertaken by ACATs, only those assessments completed. Note that completed assessments include both assessments where the delegate has and has not approved the client to receive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Approximately 1.6% of ACAP records do not have an Indigenous status recorded.</w:t>
            </w:r>
          </w:p>
          <w:p>
            <w:pPr/>
            <w:r>
              <w:rPr>
                <w:rStyle w:val="row-content-rich-text"/>
              </w:rPr>
              <w:t xml:space="preserve">Approximately 0.3% of ACAP records do not have a valid postcode for the client. These records have been excluded for the remoteness area and SEIFA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0d4bf41f5f4e07">
              <w:r>
                <w:rPr>
                  <w:rStyle w:val="Hyperlink"/>
                </w:rPr>
                <w:t xml:space="preserve">National Healthcare Agreement: PI 54: Aged care assessments completed, 2011 QS</w:t>
              </w:r>
            </w:hyperlink>
          </w:p>
          <w:p>
            <w:pPr>
              <w:spacing w:before="0" w:after="0"/>
            </w:pPr>
            <w:r>
              <w:rPr>
                <w:rStyle w:val="row-content"/>
                <w:color w:val="244061"/>
              </w:rPr>
              <w:t xml:space="preserve">       </w:t>
            </w:r>
            <w:hyperlink w:history="true" r:id="R48f8bb63ef204c3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925cb0fcfd64fd8">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02d9c994e73147e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e8d7eeafae7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1d7d0a180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d7eeafae74e4e" /><Relationship Type="http://schemas.openxmlformats.org/officeDocument/2006/relationships/header" Target="/word/header1.xml" Id="R414f0bde926e420e" /><Relationship Type="http://schemas.openxmlformats.org/officeDocument/2006/relationships/settings" Target="/word/settings.xml" Id="R23cb010840a4423a" /><Relationship Type="http://schemas.openxmlformats.org/officeDocument/2006/relationships/styles" Target="/word/styles.xml" Id="R1123a8685ebf4fa4" /><Relationship Type="http://schemas.openxmlformats.org/officeDocument/2006/relationships/hyperlink" Target="https://meteor.aihw.gov.au/RegistrationAuthority/12" TargetMode="External" Id="R3ba155f82f664ad2" /><Relationship Type="http://schemas.openxmlformats.org/officeDocument/2006/relationships/numbering" Target="/word/numbering.xml" Id="R708e45f731694135" /><Relationship Type="http://schemas.openxmlformats.org/officeDocument/2006/relationships/hyperlink" Target="https://meteor.aihw.gov.au/content/448898" TargetMode="External" Id="R4f0d4bf41f5f4e07" /><Relationship Type="http://schemas.openxmlformats.org/officeDocument/2006/relationships/hyperlink" Target="https://meteor.aihw.gov.au/RegistrationAuthority/12" TargetMode="External" Id="R48f8bb63ef204c36" /><Relationship Type="http://schemas.openxmlformats.org/officeDocument/2006/relationships/hyperlink" Target="https://meteor.aihw.gov.au/content/400213" TargetMode="External" Id="Rc925cb0fcfd64fd8" /><Relationship Type="http://schemas.openxmlformats.org/officeDocument/2006/relationships/hyperlink" Target="https://meteor.aihw.gov.au/RegistrationAuthority/12" TargetMode="External" Id="R02d9c994e73147e8" /></Relationships>
</file>

<file path=word/_rels/header1.xml.rels>&#65279;<?xml version="1.0" encoding="utf-8"?><Relationships xmlns="http://schemas.openxmlformats.org/package/2006/relationships"><Relationship Type="http://schemas.openxmlformats.org/officeDocument/2006/relationships/image" Target="/media/image.png" Id="R4471d7d0a1804e20" /></Relationships>
</file>