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e3a431e9784b8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P52-Falls resulting in patient harm in residential aged care,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P52-Falls resulting in patient harm in residential aged care,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4800022e6465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falls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Around 25% of the records of separations involving falls did not have a code assigned for the place of occurrence. Consequently, the recorded number of falls occurring in an aged care facility may be an under estimate.</w:t>
            </w:r>
          </w:p>
          <w:p>
            <w:pPr>
              <w:pStyle w:val="ListParagraph"/>
              <w:numPr>
                <w:ilvl w:val="0"/>
                <w:numId w:val="2"/>
              </w:numPr>
            </w:pPr>
            <w:r>
              <w:rPr>
                <w:rStyle w:val="row-content-rich-text"/>
              </w:rPr>
              <w:t xml:space="preserve">This indicator provides a count of separations involving one or more falls. It does not provide a count of falls.</w:t>
            </w:r>
          </w:p>
          <w:p>
            <w:pPr>
              <w:pStyle w:val="ListParagraph"/>
              <w:numPr>
                <w:ilvl w:val="0"/>
                <w:numId w:val="2"/>
              </w:numPr>
            </w:pPr>
            <w:r>
              <w:rPr>
                <w:rStyle w:val="row-content-rich-text"/>
              </w:rPr>
              <w:t xml:space="preserve">This indicator provides a count of patients who experience a fall in a residential aged care facility and required admission to hospital as a result of the fall. It does not provide an indication of the falls which occur in residential aged care facilities that do not require hospitalisation.</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AIHW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States and territories supplied these data under the terms of the National Health Information Agreement (see link).</w:t>
            </w:r>
          </w:p>
          <w:p>
            <w:hyperlink w:history="true" r:id="R9222d02b243c4a75">
              <w:r>
                <w:rPr>
                  <w:rStyle w:val="Hyperlink"/>
                </w:rPr>
                <w:t xml:space="preserve">http://www.aihw.gov.au/committees/simc/final_nhia_signed.doc</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Supporting information includes discussion of coverage, completeness of coding, the quality of Indigenous data, and variation in service delivery that might affect interpretation of the published data. Metadata information for the Admitted Patient Care National Minimum Data Set (APC NMDS)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APC NMDS is to collect information about care provided to admitted patients in Australian hospitals. The scope of the APC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specification for the indicator defines a fall in residential aged care as being one for which the place of occurrence assigned to the fall is coded as Aged Care Facility. The Aged Care Facility as a place of occurrence is broader in scope than residential aged care – it includes other aged care facilities such as retirement villages.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National Hospital Morbidity Database, with the exception of a mothercraft hospital in the ACT. The great majority of private hospitals also provided data. The exceptions were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spacing w:after="160"/>
            </w:pPr>
            <w:r>
              <w:rPr>
                <w:rStyle w:val="row-content-rich-text"/>
              </w:rPr>
              <w:t xml:space="preserve">The specification for the indicator defines a fall in residential aged care as being one for which the place of occurrence assigned to the fall is coded as Aged Care Facility. The Aged Care Facility as a place of occurrence is broader in scope than residential aged care – it includes other aged care facilities such as retirement villages. Hence, the numbers presented could be an over-estimate.</w:t>
            </w:r>
            <w:r>
              <w:br/>
            </w:r>
            <w:r>
              <w:rPr>
                <w:rStyle w:val="row-content-rich-text"/>
              </w:rPr>
              <w:t xml:space="preserve">Around 25% of the records of separations involving falls did not have a code assigned for the place of occurrence. Consequently, the recorded number of falls occurring in an aged care facility could be an under estimate.</w:t>
            </w:r>
          </w:p>
          <w:p>
            <w:pPr>
              <w:spacing w:after="160"/>
            </w:pPr>
            <w:r>
              <w:rPr>
                <w:rStyle w:val="row-content-rich-text"/>
              </w:rPr>
              <w:t xml:space="preserve">Data on falls are recorded uniformly using ICD-10-AM.</w:t>
            </w:r>
          </w:p>
          <w:p>
            <w:pPr>
              <w:spacing w:after="160"/>
            </w:pPr>
            <w:r>
              <w:rPr>
                <w:rStyle w:val="row-content-rich-text"/>
              </w:rPr>
              <w:t xml:space="preserve">The indicator provides a count of separations involving one or more falls. It does not provide a count of falls.</w:t>
            </w:r>
          </w:p>
          <w:p>
            <w:pPr>
              <w:spacing w:after="160"/>
            </w:pPr>
            <w:r>
              <w:rPr>
                <w:rStyle w:val="row-content-rich-text"/>
              </w:rPr>
              <w:t xml:space="preserve">The number of separations in which a fall in an aged care facility results in harm that is treated in hospital may be underestimated because the records for some 25% of all separations involving a fall requiring treatment listed ‘unspecified’ as the place of occurrence.</w:t>
            </w:r>
          </w:p>
          <w:p>
            <w:pPr>
              <w:spacing w:after="160"/>
            </w:pPr>
            <w:r>
              <w:rPr>
                <w:rStyle w:val="row-content-rich-text"/>
              </w:rPr>
              <w:t xml:space="preserve">The specifications for this indicator only enable the identification of patients who experience a fall in residential aged care and require admission to hospital as a result of the fall. It does not provide an indication of the falls which occur in residential aged care facilities that do not require hospitalisation.</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w:t>
            </w:r>
            <w:r>
              <w:rPr>
                <w:rStyle w:val="row-content-rich-text"/>
                <w:i/>
              </w:rPr>
              <w:t xml:space="preserve"> Australian hospital statistics 2007–08 and Hospitalisations due to falls by older people, Australia 2005–06</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39576218cb44aa">
              <w:r>
                <w:rPr>
                  <w:rStyle w:val="Hyperlink"/>
                </w:rPr>
                <w:t xml:space="preserve">National Healthcare Agreement: PI 52: Falls resulting in patient harm in residential aged care, 2011 QS</w:t>
              </w:r>
            </w:hyperlink>
          </w:p>
          <w:p>
            <w:pPr>
              <w:spacing w:before="0" w:after="0"/>
            </w:pPr>
            <w:r>
              <w:rPr>
                <w:rStyle w:val="row-content"/>
                <w:color w:val="244061"/>
              </w:rPr>
              <w:t xml:space="preserve">       </w:t>
            </w:r>
            <w:hyperlink w:history="true" r:id="R810ccfcfa454405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73a85119c874492">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f2b26577ddd0411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e5035aca921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ac0aca931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035aca9214915" /><Relationship Type="http://schemas.openxmlformats.org/officeDocument/2006/relationships/header" Target="/word/header1.xml" Id="R31c6296c4b844d32" /><Relationship Type="http://schemas.openxmlformats.org/officeDocument/2006/relationships/settings" Target="/word/settings.xml" Id="Ra191af5ce1404df1" /><Relationship Type="http://schemas.openxmlformats.org/officeDocument/2006/relationships/styles" Target="/word/styles.xml" Id="R7388f3cba2c242f3" /><Relationship Type="http://schemas.openxmlformats.org/officeDocument/2006/relationships/hyperlink" Target="https://meteor.aihw.gov.au/RegistrationAuthority/12" TargetMode="External" Id="R79e4800022e64658" /><Relationship Type="http://schemas.openxmlformats.org/officeDocument/2006/relationships/numbering" Target="/word/numbering.xml" Id="Rfb24bd90c0744df8" /><Relationship Type="http://schemas.openxmlformats.org/officeDocument/2006/relationships/hyperlink" Target="http://www.aihw.gov.au/committees/simc/final_nhia_signed.doc" TargetMode="External" Id="R9222d02b243c4a75" /><Relationship Type="http://schemas.openxmlformats.org/officeDocument/2006/relationships/hyperlink" Target="https://meteor.aihw.gov.au/content/448593" TargetMode="External" Id="Rc839576218cb44aa" /><Relationship Type="http://schemas.openxmlformats.org/officeDocument/2006/relationships/hyperlink" Target="https://meteor.aihw.gov.au/RegistrationAuthority/12" TargetMode="External" Id="R810ccfcfa4544055" /><Relationship Type="http://schemas.openxmlformats.org/officeDocument/2006/relationships/hyperlink" Target="https://meteor.aihw.gov.au/content/400209" TargetMode="External" Id="Rf73a85119c874492" /><Relationship Type="http://schemas.openxmlformats.org/officeDocument/2006/relationships/hyperlink" Target="https://meteor.aihw.gov.au/RegistrationAuthority/12" TargetMode="External" Id="Rf2b26577ddd0411d" /></Relationships>
</file>

<file path=word/_rels/header1.xml.rels>&#65279;<?xml version="1.0" encoding="utf-8"?><Relationships xmlns="http://schemas.openxmlformats.org/package/2006/relationships"><Relationship Type="http://schemas.openxmlformats.org/officeDocument/2006/relationships/image" Target="/media/image.png" Id="R811ac0aca931487e" /></Relationships>
</file>