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faad0074494a5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P48-Rates of services: Hospital procedures, 2010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P48-Rates of services: Hospital procedures,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3ddd233c48426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(NHMD)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Data on procedures are recorded uniformly using the Australian Classification of Health Interventions.</w:t>
            </w:r>
          </w:p>
          <w:p>
            <w:pPr>
              <w:pStyle w:val="ListParagraph"/>
              <w:numPr>
                <w:ilvl w:val="0"/>
                <w:numId w:val="2"/>
              </w:numPr>
            </w:pPr>
            <w:r>
              <w:rPr>
                <w:rStyle w:val="row-content-rich-text"/>
              </w:rPr>
              <w:t xml:space="preserve">Numerators for remoteness and socioeconomic status are based on the reported area of usual residence of the patient, regardless of the jurisdiction of residence. Hence there are mismatches between numerators and denominators that affect interpretation of rates.</w:t>
            </w:r>
          </w:p>
          <w:p>
            <w:pPr>
              <w:pStyle w:val="ListParagraph"/>
              <w:numPr>
                <w:ilvl w:val="0"/>
                <w:numId w:val="2"/>
              </w:numPr>
            </w:pPr>
            <w:r>
              <w:rPr>
                <w:rStyle w:val="row-content-rich-text"/>
              </w:rPr>
              <w:t xml:space="preserve">Interpretation of rates for jurisdictions should take into consideration cross-border flows, particularly in the ACT.</w:t>
            </w:r>
          </w:p>
          <w:p>
            <w:pPr>
              <w:pStyle w:val="ListParagraph"/>
              <w:numPr>
                <w:ilvl w:val="0"/>
                <w:numId w:val="2"/>
              </w:numPr>
            </w:pPr>
            <w:r>
              <w:rPr>
                <w:rStyle w:val="row-content-rich-text"/>
              </w:rPr>
              <w:t xml:space="preserve">Variations in admission practices and policies lead to variation among providers in the number of admissions for some conditions.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were supplied to the Institute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0792616183ac466b">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NHMD. Published products available on the AIHW website are: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 for Admitted patient care (for Principal diagnoses, procedures and Diagnosis Related Groups).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w:t>
            </w:r>
            <w:r>
              <w:rPr>
                <w:rStyle w:val="row-content-rich-text"/>
              </w:rPr>
              <w:t xml:space="preserve"> (technical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NMDS for Admitted patient care are published in the AIHW’s online metadata repository —METeOR, and the </w:t>
            </w:r>
            <w:r>
              <w:rPr>
                <w:rStyle w:val="row-content-rich-text"/>
                <w:i/>
              </w:rPr>
              <w:t xml:space="preserve">National health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national Minimum Dataset (NMDS) for Admitted patient care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analyses by remoteness and socioeconomic status are based on Statistical Local Area of usual residence of the patient. Separations are reported by jurisdiction of hospitalisation, regardless of the jurisdiction of usual residence. Hence, rates represent the number of separations for each remoteness area or SEIFA population group (regardless of the jurisdiction in which the patient resides) divided by the number of people in that remoteness or SEIFA population group in the jurisdiction of hospitalisation. Therefore, there will be mismatches between the numerators and denominators for separation rates. Mismatches are particularly relevant if significant numbers of one jurisdiction’s residents are treated in another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NHMD, with the exception of a mothercraft hospital in the ACT. The great majority of private hospitals also provided data,  the exceptions being the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jurisdictional records to determine the accuracy of the data provided. However, routine data quality checks are conducted by states and territories prior to submission to the AIHW. The AIHW then undertakes extensive validations on receipt of data. Data are checked for valid values, logical consistency and historical consistency. Potential errors are queried with jurisdictions, and corrections and resubmissions may be made in response to these edit queries. The AIHW does not adjust data to account for possible data errors.</w:t>
            </w:r>
          </w:p>
          <w:p>
            <w:pPr>
              <w:spacing w:after="160"/>
            </w:pPr>
            <w:r>
              <w:rPr>
                <w:rStyle w:val="row-content-rich-text"/>
              </w:rPr>
              <w:t xml:space="preserve">Data on procedures are recorded uniformly using the Australian Classification of Health Interventions.</w:t>
            </w:r>
          </w:p>
          <w:p>
            <w:pPr>
              <w:spacing w:after="160"/>
            </w:pPr>
            <w:r>
              <w:rPr>
                <w:rStyle w:val="row-content-rich-text"/>
              </w:rPr>
              <w:t xml:space="preserve">Variations in admission practices and policies lead to variation among providers in the number of admissions for some conditions.</w:t>
            </w:r>
          </w:p>
          <w:p>
            <w:pPr>
              <w:spacing w:after="160"/>
            </w:pPr>
            <w:r>
              <w:rPr>
                <w:rStyle w:val="row-content-rich-text"/>
              </w:rPr>
              <w:t xml:space="preserve">The Indigenous status data are of sufficient quality for statistical reporting purposes for the following jurisdictions: NSW, Vic, Qld, SA, WA, NT (NT public hospitals only).</w:t>
            </w:r>
          </w:p>
          <w:p>
            <w:pPr/>
            <w:r>
              <w:rPr>
                <w:rStyle w:val="row-content-rich-text"/>
              </w:rPr>
              <w:t xml:space="preserve">Cells have been suppressed to protect confidentiality (where the presentation could identify a patient or a single service provider), where rates are likely to be highly volatile (for example, the denominator is very small), or data quality is known to be of insufficient quality (for example, where Indigenous identification rates are 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except that for the Indigenous disaggregation age standardisation is to 64 years here, rather than to 74 as in </w:t>
            </w:r>
            <w:r>
              <w:rPr>
                <w:rStyle w:val="row-content-rich-text"/>
                <w:i/>
              </w:rPr>
              <w:t xml:space="preserve">Australian hospital statistics</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4bf9c382a84c54">
              <w:r>
                <w:rPr>
                  <w:rStyle w:val="Hyperlink"/>
                </w:rPr>
                <w:t xml:space="preserve">National Healthcare Agreement: PI 48: Rates of services: hospital procedures, 2011 QS</w:t>
              </w:r>
            </w:hyperlink>
          </w:p>
          <w:p>
            <w:pPr>
              <w:spacing w:before="0" w:after="0"/>
            </w:pPr>
            <w:r>
              <w:rPr>
                <w:rStyle w:val="row-content"/>
                <w:color w:val="244061"/>
              </w:rPr>
              <w:t xml:space="preserve">       </w:t>
            </w:r>
            <w:hyperlink w:history="true" r:id="R123604513fc84274">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7bec4b2464c4f75">
              <w:r>
                <w:rPr>
                  <w:rStyle w:val="Hyperlink"/>
                </w:rPr>
                <w:t xml:space="preserve">National Healthcare Agreement: P48-Rates of services: Hospital procedures, 2010</w:t>
              </w:r>
            </w:hyperlink>
          </w:p>
          <w:p>
            <w:pPr>
              <w:spacing w:before="0" w:after="0"/>
            </w:pPr>
            <w:r>
              <w:rPr>
                <w:rStyle w:val="row-content"/>
                <w:color w:val="244061"/>
              </w:rPr>
              <w:t xml:space="preserve">       </w:t>
            </w:r>
            <w:hyperlink w:history="true" r:id="R7ac4fa7bfa7e492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51c093d38dc4c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f230b4ba6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1c093d38dc4c62" /><Relationship Type="http://schemas.openxmlformats.org/officeDocument/2006/relationships/header" Target="/word/header1.xml" Id="R91eb3375312b47ef" /><Relationship Type="http://schemas.openxmlformats.org/officeDocument/2006/relationships/settings" Target="/word/settings.xml" Id="Rfab321d64f134cd6" /><Relationship Type="http://schemas.openxmlformats.org/officeDocument/2006/relationships/styles" Target="/word/styles.xml" Id="R6b7d99f8866d4ec3" /><Relationship Type="http://schemas.openxmlformats.org/officeDocument/2006/relationships/hyperlink" Target="https://meteor.aihw.gov.au/RegistrationAuthority/12" TargetMode="External" Id="R623ddd233c484269" /><Relationship Type="http://schemas.openxmlformats.org/officeDocument/2006/relationships/numbering" Target="/word/numbering.xml" Id="Rea8461e734f24807" /><Relationship Type="http://schemas.openxmlformats.org/officeDocument/2006/relationships/hyperlink" Target="http://www.aihw.gov.au/committees/simc/final_nhia_signed.doc" TargetMode="External" Id="R0792616183ac466b" /><Relationship Type="http://schemas.openxmlformats.org/officeDocument/2006/relationships/hyperlink" Target="https://meteor.aihw.gov.au/content/448574" TargetMode="External" Id="R6c4bf9c382a84c54" /><Relationship Type="http://schemas.openxmlformats.org/officeDocument/2006/relationships/hyperlink" Target="https://meteor.aihw.gov.au/RegistrationAuthority/12" TargetMode="External" Id="R123604513fc84274" /><Relationship Type="http://schemas.openxmlformats.org/officeDocument/2006/relationships/hyperlink" Target="https://meteor.aihw.gov.au/content/395095" TargetMode="External" Id="Rc7bec4b2464c4f75" /><Relationship Type="http://schemas.openxmlformats.org/officeDocument/2006/relationships/hyperlink" Target="https://meteor.aihw.gov.au/RegistrationAuthority/12" TargetMode="External" Id="R7ac4fa7bfa7e492a" /></Relationships>
</file>

<file path=word/_rels/header1.xml.rels>&#65279;<?xml version="1.0" encoding="utf-8"?><Relationships xmlns="http://schemas.openxmlformats.org/package/2006/relationships"><Relationship Type="http://schemas.openxmlformats.org/officeDocument/2006/relationships/image" Target="/media/image.png" Id="Rf73f230b4ba6462b" /></Relationships>
</file>