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6d7de5639045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P33-Women with at least one antenatal visit in the first trimester of pregnancy,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P33-Women with at least one antenatal visit in the first trimester of pregnancy,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418548eea64ef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Perinatal National Minimum Data Set (NMDS) did not include antenatal care data items in 2007 and national data are not currently available. Information about antenatal care in the first trimester was available for New South Wales, South Australia and the Northern Territory only. Antenatal care data items were collected using non-standardised definitions and with variable response rates. The validity of the data is unknown. Completeness of the data varies widely between jurisdictions and comparisons are not advised.</w:t>
            </w:r>
          </w:p>
          <w:p>
            <w:pPr>
              <w:pStyle w:val="ListParagraph"/>
              <w:numPr>
                <w:ilvl w:val="0"/>
                <w:numId w:val="2"/>
              </w:numPr>
            </w:pPr>
            <w:r>
              <w:rPr>
                <w:rStyle w:val="row-content-rich-text"/>
              </w:rPr>
              <w:t xml:space="preserve">Since 2005, all jurisdictions have provided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National Perinatal Data Collection (NPDC) or to determine variability between states and territories. The current data have not been adjusted for potential under-identification of Indigenous status of the mother.</w:t>
            </w:r>
          </w:p>
          <w:p>
            <w:pPr>
              <w:pStyle w:val="ListParagraph"/>
              <w:numPr>
                <w:ilvl w:val="0"/>
                <w:numId w:val="2"/>
              </w:numPr>
            </w:pPr>
            <w:r>
              <w:rPr>
                <w:rStyle w:val="row-content-rich-text"/>
              </w:rPr>
              <w:t xml:space="preserve">Area of usual residence of the mother is included in the Perinatal NMDS and data are complete for over 99.9% of mother records.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included in the NPDC are collected as part of a National Minimum Data Set and were supplied by state and territory health authorities to the National Perinatal Statistics Unit (NPSU), a collaborating unit of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f05527fee3e64133">
              <w:r>
                <w:rPr>
                  <w:rStyle w:val="Hyperlink"/>
                </w:rPr>
                <w:t xml:space="preserve">http://www.aihw.gov.au/committees/simc/final_nhia_signed.doc</w:t>
              </w:r>
            </w:hyperlink>
            <w:r>
              <w:rPr>
                <w:rStyle w:val="row-content-rich-text"/>
              </w:rPr>
              <w:t xml:space="preserve">.</w:t>
            </w:r>
          </w:p>
          <w:p>
            <w:pPr>
              <w:spacing w:after="160"/>
            </w:pPr>
            <w:r>
              <w:rPr>
                <w:rStyle w:val="row-content-rich-text"/>
              </w:rPr>
              <w:t xml:space="preserve">Data specifications for the Perinatal NMDS are documented in the AIHW online metadata repository, METeOR, (see link)</w:t>
            </w:r>
          </w:p>
          <w:p>
            <w:hyperlink w:history="true" r:id="Rd8a3b431dbbc4df6">
              <w:r>
                <w:rPr>
                  <w:rStyle w:val="Hyperlink"/>
                </w:rPr>
                <w:t xml:space="preserve">/content/index.phtml/itemId/181162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METeOR, the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biennially in the </w:t>
            </w:r>
            <w:r>
              <w:rPr>
                <w:rStyle w:val="row-content-rich-text"/>
                <w:i/>
              </w:rPr>
              <w:t xml:space="preserve">Aboriginal and Torres Strait Islander Health Performance Framework</w:t>
            </w:r>
            <w:r>
              <w:rPr>
                <w:rStyle w:val="row-content-rich-text"/>
              </w:rPr>
              <w:t xml:space="preserve"> report and the </w:t>
            </w:r>
            <w:r>
              <w:rPr>
                <w:rStyle w:val="row-content-rich-text"/>
                <w:i/>
              </w:rPr>
              <w:t xml:space="preserve">Overcoming Indigenous Disadvantage</w:t>
            </w:r>
            <w:r>
              <w:rPr>
                <w:rStyle w:val="row-content-rich-text"/>
              </w:rPr>
              <w:t xml:space="preserve"> report (although minor differences may arise due to small variations in the definition of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spacing w:after="160"/>
            </w:pPr>
            <w:r>
              <w:rPr>
                <w:rStyle w:val="row-content-rich-text"/>
              </w:rPr>
              <w:t xml:space="preserve">Proportions of records missing antenatal care information are very different in New South Wales (4.9%) and South Australia (34.9%). With this level of missing data proportions calculated using all residents will reflect differential rates of missing data. Reporting for this indicator has therefore been restricted to records with completed information. Caution must be used interpreting data from jurisdictions with a high proportion of records missing data. The first visits for women missing may be distributed differently to those whose data have been reported.</w:t>
            </w:r>
          </w:p>
          <w:p>
            <w:pPr/>
            <w:r>
              <w:rPr>
                <w:rStyle w:val="row-content-rich-text"/>
              </w:rPr>
              <w:t xml:space="preserve">Once nationally consistent data items on antenatal care are added to the Perinatal NMDS, metadata information for this indicator will be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Although the NPDC provides all relevant data elements of interest for this indicator, this is not included in the NMDS and data are not available for all states and territories. Data reported for 2007 on number of women who gave birth who attended at least one antenatal visit in the first trimester are for New South Wales, South Australia and the Northern Territory only. Although data on gestation at first antenatal visit are also collected in the Australian Capital Territory, they were not considered of sufficient quality to publish. Totals reported for this indicator can not be generalised to Australia.</w:t>
            </w:r>
          </w:p>
          <w:p>
            <w:pPr>
              <w:spacing w:after="160"/>
            </w:pPr>
            <w:r>
              <w:rPr>
                <w:rStyle w:val="row-content-rich-text"/>
              </w:rPr>
              <w:t xml:space="preserve">Information collected on antenatal care differs among the jurisdictions. No formal national assessment has been undertaken to assess these. Comparisons between states and territories should therefore be interpreted with caution.</w:t>
            </w:r>
          </w:p>
          <w:p>
            <w:pPr>
              <w:spacing w:after="160"/>
            </w:pPr>
            <w:r>
              <w:rPr>
                <w:rStyle w:val="row-content-rich-text"/>
              </w:rPr>
              <w:t xml:space="preserve">Each jurisdiction has a unique perinatal form for collecting data. There are minor differences in the format of the Indigenous status question but all are compliant with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or to determine variability between states and territories. However, the proportion of Indigenous mothers for the period 1997-2006 has been consistent, at 3.2–3.7% of women who gave birth. For maternal records (0.1%) where Indigenous status was not stated, data were excluded. Comparisons between states and territories should be interpreted with this caution.</w:t>
            </w:r>
          </w:p>
          <w:p>
            <w:pPr/>
            <w:r>
              <w:rPr>
                <w:rStyle w:val="row-content-rich-text"/>
              </w:rPr>
              <w:t xml:space="preserve">SEIFA quintiles based on the Index of Relative Socio-economic Disadvantage (IRSD) for the total population have been applied for this indicator for reporting by SEIFA. Reporting by remoteness is in accordance with the </w:t>
            </w:r>
            <w:r>
              <w:rPr>
                <w:rStyle w:val="row-content-rich-text"/>
                <w:i/>
              </w:rPr>
              <w:t xml:space="preserve">Australian Standard Geographical Classification</w:t>
            </w:r>
            <w:r>
              <w:rPr>
                <w:rStyle w:val="row-content-rich-text"/>
              </w:rPr>
              <w:t xml:space="preserve">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This indicator is calculated on data that has been reported to the AIHW. Prior to publication, these data are referred back to jurisdictions for checking and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National data are not available for antenatal care. Information collected on antenatal care differs among the jurisdictions. For 2007 data, no formal national assessment has been undertaken of these data. Data reported for 2007 on number of women who gave birth who attended at least one antenatal visit in the first trimester are available for New South Wales, South Australia and the Northern Territory only. Residents of these jurisdictions who give birth in a different jurisdiction will not have data on antenatal care. </w:t>
            </w:r>
          </w:p>
          <w:p>
            <w:pPr>
              <w:spacing w:after="160"/>
            </w:pPr>
            <w:r>
              <w:rPr>
                <w:rStyle w:val="row-content-rich-text"/>
              </w:rPr>
              <w:t xml:space="preserve">Proportions of records missing antenatal care information on whether the first visit was in the first trimester are very different for women who resided in New South Wales (2.3%) and the Northern Territory (2.6%) compared with South Australia (34.9%). No information is available on the missing data. The timing of the first visits for women missing data may be distributed differently to those whose data have been reported. Therefore, computation of the indicator includes data with completed information about gestation at first antenatal visit. </w:t>
            </w:r>
          </w:p>
          <w:p>
            <w:pPr>
              <w:spacing w:after="160"/>
            </w:pPr>
            <w:r>
              <w:rPr>
                <w:rStyle w:val="row-content-rich-text"/>
              </w:rPr>
              <w:t xml:space="preserve">The geographical location code for the area of usual residence of the mother is included in the Perinatal NMDS. Fewer than 0.08% of records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of mothers who gave birth in the reference period had missing Indigenous status information. No adjustments have been made for under-identification or missing Indigenous status information.</w:t>
            </w:r>
          </w:p>
          <w:p>
            <w:pPr>
              <w:spacing w:after="160"/>
            </w:pPr>
            <w:r>
              <w:rPr>
                <w:rStyle w:val="row-content-rich-text"/>
              </w:rPr>
              <w:t xml:space="preserve">The indicator is presented by SEIFA IRSD. The NPDC receives a 5-digit code for SLA from all states and territories except Tasmania (which supplies postal area codes).</w:t>
            </w:r>
          </w:p>
          <w:p>
            <w:pPr>
              <w:spacing w:after="160"/>
            </w:pPr>
            <w:r>
              <w:rPr>
                <w:rStyle w:val="row-content-rich-text"/>
              </w:rPr>
              <w:t xml:space="preserve">Reporting by remoteness is in accordance with the </w:t>
            </w:r>
            <w:r>
              <w:rPr>
                <w:rStyle w:val="row-content-rich-text"/>
                <w:i/>
              </w:rPr>
              <w:t xml:space="preserve">Australian Standard Geographical Classification</w:t>
            </w:r>
            <w:r>
              <w:rPr>
                <w:rStyle w:val="row-content-rich-text"/>
              </w:rPr>
              <w:t xml:space="preserve"> (ASGC). Remoteness is assigned from SLA or postal area codes.</w:t>
            </w:r>
          </w:p>
          <w:p>
            <w:pP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ad24422fcb48f7">
              <w:r>
                <w:rPr>
                  <w:rStyle w:val="Hyperlink"/>
                </w:rPr>
                <w:t xml:space="preserve">National Healthcare Agreement: PI 33: Women with at least one antenatal visit in the first trimester of pregnancy, 2011 QS</w:t>
              </w:r>
            </w:hyperlink>
          </w:p>
          <w:p>
            <w:pPr>
              <w:spacing w:before="0" w:after="0"/>
            </w:pPr>
            <w:r>
              <w:rPr>
                <w:rStyle w:val="row-content"/>
                <w:color w:val="244061"/>
              </w:rPr>
              <w:t xml:space="preserve">       </w:t>
            </w:r>
            <w:hyperlink w:history="true" r:id="R8bf0f7d06d92488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ad4047e22c4a74">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2ba4fc86528a4aa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8dbeb66b719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010559d0745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beb66b7194218" /><Relationship Type="http://schemas.openxmlformats.org/officeDocument/2006/relationships/header" Target="/word/header1.xml" Id="Rd0ae9703831f487b" /><Relationship Type="http://schemas.openxmlformats.org/officeDocument/2006/relationships/settings" Target="/word/settings.xml" Id="Rdf62aac597e649e5" /><Relationship Type="http://schemas.openxmlformats.org/officeDocument/2006/relationships/styles" Target="/word/styles.xml" Id="R5e82c9fe32d846f8" /><Relationship Type="http://schemas.openxmlformats.org/officeDocument/2006/relationships/hyperlink" Target="https://meteor.aihw.gov.au/RegistrationAuthority/12" TargetMode="External" Id="R4d418548eea64efb" /><Relationship Type="http://schemas.openxmlformats.org/officeDocument/2006/relationships/numbering" Target="/word/numbering.xml" Id="R3d50218337c64dc5" /><Relationship Type="http://schemas.openxmlformats.org/officeDocument/2006/relationships/hyperlink" Target="http://www.aihw.gov.au/committees/simc/final_nhia_signed.doc" TargetMode="External" Id="Rf05527fee3e64133" /><Relationship Type="http://schemas.openxmlformats.org/officeDocument/2006/relationships/hyperlink" Target="https://meteor.aihw.gov.au/content/181162" TargetMode="External" Id="Rd8a3b431dbbc4df6" /><Relationship Type="http://schemas.openxmlformats.org/officeDocument/2006/relationships/hyperlink" Target="https://meteor.aihw.gov.au/content/448204" TargetMode="External" Id="R62ad24422fcb48f7" /><Relationship Type="http://schemas.openxmlformats.org/officeDocument/2006/relationships/hyperlink" Target="https://meteor.aihw.gov.au/RegistrationAuthority/12" TargetMode="External" Id="R8bf0f7d06d924885" /><Relationship Type="http://schemas.openxmlformats.org/officeDocument/2006/relationships/hyperlink" Target="https://meteor.aihw.gov.au/content/395008" TargetMode="External" Id="Re4ad4047e22c4a74" /><Relationship Type="http://schemas.openxmlformats.org/officeDocument/2006/relationships/hyperlink" Target="https://meteor.aihw.gov.au/RegistrationAuthority/12" TargetMode="External" Id="R2ba4fc86528a4aa7" /></Relationships>
</file>

<file path=word/_rels/header1.xml.rels>&#65279;<?xml version="1.0" encoding="utf-8"?><Relationships xmlns="http://schemas.openxmlformats.org/package/2006/relationships"><Relationship Type="http://schemas.openxmlformats.org/officeDocument/2006/relationships/image" Target="/media/image.png" Id="R72d010559d074501" /></Relationships>
</file>