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a923b1dfc4481" /></Relationships>
</file>

<file path=word/document.xml><?xml version="1.0" encoding="utf-8"?>
<w:document xmlns:r="http://schemas.openxmlformats.org/officeDocument/2006/relationships" xmlns:w="http://schemas.openxmlformats.org/wordprocessingml/2006/main">
  <w:body>
    <w:p>
      <w:pPr>
        <w:pStyle w:val="Title"/>
      </w:pPr>
      <w:r>
        <w:t>Gleason grade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Gleason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4a68c013647e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international system of grading prostate cancer based on the tumour patterns in sections of biopsied or resected tissue.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Grade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Grade 1</w:t>
            </w:r>
          </w:p>
          <w:p>
            <w:pPr>
              <w:spacing w:after="160"/>
            </w:pPr>
            <w:r>
              <w:rPr>
                <w:rStyle w:val="row-content-rich-text"/>
              </w:rPr>
              <w:t xml:space="preserve">Closely packed small regular glands forming a circumscribed rounded nodule. Not to be used for grading of needle core biopsy specimens.</w:t>
            </w:r>
          </w:p>
          <w:p>
            <w:pPr>
              <w:spacing w:after="160"/>
            </w:pPr>
            <w:r>
              <w:rPr>
                <w:rStyle w:val="row-content-rich-text"/>
              </w:rPr>
              <w:t xml:space="preserve">CODE 2   Grade 2</w:t>
            </w:r>
          </w:p>
          <w:p>
            <w:pPr>
              <w:spacing w:after="160"/>
            </w:pPr>
            <w:r>
              <w:rPr>
                <w:rStyle w:val="row-content-rich-text"/>
              </w:rPr>
              <w:t xml:space="preserve">Glands more loosely arranged; not quite as uniform; fairly circumscribed but may have minimal infiltration at margins. Rarely, if ever, to be used for grading of needle core biopsy specimens.</w:t>
            </w:r>
          </w:p>
          <w:p>
            <w:pPr>
              <w:spacing w:after="160"/>
            </w:pPr>
            <w:r>
              <w:rPr>
                <w:rStyle w:val="row-content-rich-text"/>
              </w:rPr>
              <w:t xml:space="preserve">CODE 3   Grade 3</w:t>
            </w:r>
          </w:p>
          <w:p>
            <w:pPr>
              <w:spacing w:after="160"/>
            </w:pPr>
            <w:r>
              <w:rPr>
                <w:rStyle w:val="row-content-rich-text"/>
              </w:rPr>
              <w:t xml:space="preserve">Discrete glandular units/acini with marked variation in size and shape; infiltrates in and amongst benign prostatic tissue.</w:t>
            </w:r>
          </w:p>
          <w:p>
            <w:pPr>
              <w:spacing w:after="160"/>
            </w:pPr>
            <w:r>
              <w:rPr>
                <w:rStyle w:val="row-content-rich-text"/>
              </w:rPr>
              <w:t xml:space="preserve">CODE 4   Grade 4</w:t>
            </w:r>
          </w:p>
          <w:p>
            <w:pPr>
              <w:spacing w:after="160"/>
            </w:pPr>
            <w:r>
              <w:rPr>
                <w:rStyle w:val="row-content-rich-text"/>
              </w:rPr>
              <w:t xml:space="preserve">Fused micro acinar glands; ill-defined glands with poorly formed lumina; large cribriform irregular glands; hypernephroid.</w:t>
            </w:r>
          </w:p>
          <w:p>
            <w:pPr>
              <w:spacing w:after="160"/>
            </w:pPr>
            <w:r>
              <w:rPr>
                <w:rStyle w:val="row-content-rich-text"/>
              </w:rPr>
              <w:t xml:space="preserve">CODE 5   Grade 5</w:t>
            </w:r>
          </w:p>
          <w:p>
            <w:pPr/>
            <w:r>
              <w:rPr>
                <w:rStyle w:val="row-content-rich-text"/>
              </w:rPr>
              <w:t xml:space="preserve">Minimal if any glandular differentiation – solid sheets, cords or single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from pathology reports.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Humphrey PA 2004. Gleason grading and prognostic factors in carcinoma of the prostate. Modern pathology, 17(3): 292-306</w:t>
            </w:r>
          </w:p>
          <w:p>
            <w:pPr/>
            <w:r>
              <w:rPr>
                <w:rStyle w:val="row-content-rich-text"/>
              </w:rPr>
              <w:t xml:space="preserve">Epstein JI, Allsbrook WCJ, Amin MB and Egevad LL 2005. The 2005 International Society of Urological Pathology (ISUP) Consensus Conference on Gleason Grading of Prostatic Carcinoma. American Journal of Surgical Pathology 29(9):1228–1242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c6ec3f58ad42dd">
              <w:r>
                <w:rPr>
                  <w:rStyle w:val="Hyperlink"/>
                </w:rPr>
                <w:t xml:space="preserve">Person with cancer—histopathological grade, primary Gleason grade code N</w:t>
              </w:r>
            </w:hyperlink>
          </w:p>
          <w:p>
            <w:pPr>
              <w:pStyle w:val="registration-status"/>
              <w:spacing w:before="0" w:after="0"/>
            </w:pPr>
            <w:hyperlink w:history="true" r:id="Rd966c8a645d64fbe">
              <w:r>
                <w:rPr>
                  <w:rStyle w:val="Hyperlink"/>
                  <w:color w:val="244061"/>
                </w:rPr>
                <w:t xml:space="preserve">Health</w:t>
              </w:r>
            </w:hyperlink>
            <w:r>
              <w:rPr>
                <w:rStyle w:val="row-content"/>
                <w:color w:val="244061"/>
              </w:rPr>
              <w:t xml:space="preserve">, Standard 14/05/2015</w:t>
            </w:r>
          </w:p>
          <w:p>
            <w:r>
              <w:br/>
            </w:r>
            <w:hyperlink w:history="true" r:id="Rb969b2e0a5bf480d">
              <w:r>
                <w:rPr>
                  <w:rStyle w:val="Hyperlink"/>
                </w:rPr>
                <w:t xml:space="preserve">Person with cancer—histopathological grade, secondary Gleason grade code N</w:t>
              </w:r>
            </w:hyperlink>
          </w:p>
          <w:p>
            <w:pPr>
              <w:pStyle w:val="registration-status"/>
              <w:spacing w:before="0" w:after="0"/>
            </w:pPr>
            <w:hyperlink w:history="true" r:id="Rb6415bea8e9f429b">
              <w:r>
                <w:rPr>
                  <w:rStyle w:val="Hyperlink"/>
                  <w:color w:val="244061"/>
                </w:rPr>
                <w:t xml:space="preserve">Health</w:t>
              </w:r>
            </w:hyperlink>
            <w:r>
              <w:rPr>
                <w:rStyle w:val="row-content"/>
                <w:color w:val="244061"/>
              </w:rPr>
              <w:t xml:space="preserve">, Standard 14/05/2015</w:t>
            </w:r>
          </w:p>
          <w:p>
            <w:r>
              <w:br/>
            </w:r>
            <w:hyperlink w:history="true" r:id="R18372e2a21b74d20">
              <w:r>
                <w:rPr>
                  <w:rStyle w:val="Hyperlink"/>
                </w:rPr>
                <w:t xml:space="preserve">Person with cancer—histopathological grade, tertiary Gleason Grade code N</w:t>
              </w:r>
            </w:hyperlink>
          </w:p>
          <w:p>
            <w:pPr>
              <w:pStyle w:val="registration-status"/>
              <w:spacing w:before="0" w:after="0"/>
            </w:pPr>
            <w:hyperlink w:history="true" r:id="Rfd4b4a4f491048b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3312f11a4f4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cd96dc613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12f11a4f447ca" /><Relationship Type="http://schemas.openxmlformats.org/officeDocument/2006/relationships/header" Target="/word/header1.xml" Id="Raa282d0bb3ef4bec" /><Relationship Type="http://schemas.openxmlformats.org/officeDocument/2006/relationships/settings" Target="/word/settings.xml" Id="Re479945f057442fa" /><Relationship Type="http://schemas.openxmlformats.org/officeDocument/2006/relationships/styles" Target="/word/styles.xml" Id="R58495dc2a3704ff2" /><Relationship Type="http://schemas.openxmlformats.org/officeDocument/2006/relationships/hyperlink" Target="https://meteor.aihw.gov.au/RegistrationAuthority/12" TargetMode="External" Id="R3ec4a68c013647ef" /><Relationship Type="http://schemas.openxmlformats.org/officeDocument/2006/relationships/hyperlink" Target="https://meteor.aihw.gov.au/content/392014" TargetMode="External" Id="R35c6ec3f58ad42dd" /><Relationship Type="http://schemas.openxmlformats.org/officeDocument/2006/relationships/hyperlink" Target="https://meteor.aihw.gov.au/RegistrationAuthority/12" TargetMode="External" Id="Rd966c8a645d64fbe" /><Relationship Type="http://schemas.openxmlformats.org/officeDocument/2006/relationships/hyperlink" Target="https://meteor.aihw.gov.au/content/436185" TargetMode="External" Id="Rb969b2e0a5bf480d" /><Relationship Type="http://schemas.openxmlformats.org/officeDocument/2006/relationships/hyperlink" Target="https://meteor.aihw.gov.au/RegistrationAuthority/12" TargetMode="External" Id="Rb6415bea8e9f429b" /><Relationship Type="http://schemas.openxmlformats.org/officeDocument/2006/relationships/hyperlink" Target="https://meteor.aihw.gov.au/content/496572" TargetMode="External" Id="R18372e2a21b74d20" /><Relationship Type="http://schemas.openxmlformats.org/officeDocument/2006/relationships/hyperlink" Target="https://meteor.aihw.gov.au/RegistrationAuthority/12" TargetMode="External" Id="Rfd4b4a4f491048b8" /></Relationships>
</file>

<file path=word/_rels/header1.xml.rels>&#65279;<?xml version="1.0" encoding="utf-8"?><Relationships xmlns="http://schemas.openxmlformats.org/package/2006/relationships"><Relationship Type="http://schemas.openxmlformats.org/officeDocument/2006/relationships/image" Target="/media/image.png" Id="R893cd96dc6134f96" /></Relationships>
</file>