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f74b610fc240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P25-Specialist services claimed through Medicare,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P25-Specialist services claimed through Medicare,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8cdf061ce4d6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 </w:t>
            </w:r>
          </w:p>
          <w:p>
            <w:pPr>
              <w:pStyle w:val="ListParagraph"/>
              <w:numPr>
                <w:ilvl w:val="0"/>
                <w:numId w:val="2"/>
              </w:numPr>
            </w:pPr>
            <w:r>
              <w:rPr>
                <w:rStyle w:val="row-content-rich-text"/>
              </w:rPr>
              <w:t xml:space="preserve">This measure does not reflect total Medicare-reimbursed specialist activity as it excludes specialist services provided to hospital inpatients (and reimbursed through the Medicare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65e6aeb64a8c4a96">
              <w:r>
                <w:rPr>
                  <w:rStyle w:val="Hyperlink"/>
                </w:rPr>
                <w:t xml:space="preserve">http://www.nhhrc.org.au/internet/main/publishing.nsf/Content/Medicare+Statistics-1</w:t>
              </w:r>
            </w:hyperlink>
          </w:p>
          <w:p>
            <w:hyperlink w:history="true" r:id="R352d852f9b994b12">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9f90d93ed47a47bc">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w:t>
            </w:r>
          </w:p>
          <w:p>
            <w:pPr>
              <w:spacing w:after="160"/>
            </w:pPr>
            <w:r>
              <w:rPr>
                <w:rStyle w:val="row-content-rich-text"/>
              </w:rPr>
              <w:t xml:space="preserve">This measure does not reflect total Medicare-reimbursed specialist activity as it excludes specialist services provided to hospital inpatients (and reimbursed through the Medicare system).</w:t>
            </w:r>
          </w:p>
          <w:p>
            <w:pPr>
              <w:spacing w:after="160"/>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data does not necessarily reflect the location in which services were received.</w:t>
            </w:r>
          </w:p>
          <w:p>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w:t>
            </w:r>
          </w:p>
          <w:p>
            <w:pPr>
              <w:spacing w:after="160"/>
            </w:pPr>
            <w:r>
              <w:rPr>
                <w:rStyle w:val="row-content-rich-text"/>
              </w:rPr>
              <w:t xml:space="preserve">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Disaggregations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f81a945fec4c12">
              <w:r>
                <w:rPr>
                  <w:rStyle w:val="Hyperlink"/>
                </w:rPr>
                <w:t xml:space="preserve">National Healthcare Agreement: PI 25: Specialist services, 2011 QS</w:t>
              </w:r>
            </w:hyperlink>
          </w:p>
          <w:p>
            <w:pPr>
              <w:pStyle w:val="registration-status"/>
              <w:spacing w:before="0" w:after="0"/>
            </w:pPr>
            <w:hyperlink w:history="true" r:id="R78464d0ed896464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2da9bff2ac348c1">
              <w:r>
                <w:rPr>
                  <w:rStyle w:val="Hyperlink"/>
                </w:rPr>
                <w:t xml:space="preserve">National Healthcare Agreement: P25-Specialist services claimed through Medicare, 2010</w:t>
              </w:r>
            </w:hyperlink>
          </w:p>
          <w:p>
            <w:pPr>
              <w:pStyle w:val="registration-status"/>
              <w:spacing w:before="0" w:after="0"/>
            </w:pPr>
            <w:hyperlink w:history="true" r:id="R4fa7a77b81f6493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9b28ab4d53c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4120c0d91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28ab4d53c4af1" /><Relationship Type="http://schemas.openxmlformats.org/officeDocument/2006/relationships/header" Target="/word/header1.xml" Id="Rd2c38ce79a104441" /><Relationship Type="http://schemas.openxmlformats.org/officeDocument/2006/relationships/settings" Target="/word/settings.xml" Id="Rba9b61f4d5ab4187" /><Relationship Type="http://schemas.openxmlformats.org/officeDocument/2006/relationships/styles" Target="/word/styles.xml" Id="Ra48e0d364113402f" /><Relationship Type="http://schemas.openxmlformats.org/officeDocument/2006/relationships/numbering" Target="/word/numbering.xml" Id="R9b3fbeece56549e7" /><Relationship Type="http://schemas.openxmlformats.org/officeDocument/2006/relationships/hyperlink" Target="https://meteor.aihw.gov.au/RegistrationAuthority/12" TargetMode="External" Id="R86c8cdf061ce4d6e" /><Relationship Type="http://schemas.openxmlformats.org/officeDocument/2006/relationships/hyperlink" Target="http://www.nhhrc.org.au/internet/main/publishing.nsf/Content/Medicare+Statistics-1" TargetMode="External" Id="R65e6aeb64a8c4a96" /><Relationship Type="http://schemas.openxmlformats.org/officeDocument/2006/relationships/hyperlink" Target="https://www.medicareaustralia.gov.au/statistics/mbs_item.shtml" TargetMode="External" Id="R352d852f9b994b12" /><Relationship Type="http://schemas.openxmlformats.org/officeDocument/2006/relationships/hyperlink" Target="http://www.health.gov.au/internet/mbsonline/publishing.nsf/content/medicare-benefits-schedule-mbs-1" TargetMode="External" Id="R9f90d93ed47a47bc" /><Relationship Type="http://schemas.openxmlformats.org/officeDocument/2006/relationships/hyperlink" Target="https://meteor.aihw.gov.au/content/448120" TargetMode="External" Id="Rf7f81a945fec4c12" /><Relationship Type="http://schemas.openxmlformats.org/officeDocument/2006/relationships/hyperlink" Target="https://meteor.aihw.gov.au/RegistrationAuthority/12" TargetMode="External" Id="R78464d0ed896464f" /><Relationship Type="http://schemas.openxmlformats.org/officeDocument/2006/relationships/hyperlink" Target="https://meteor.aihw.gov.au/content/394822" TargetMode="External" Id="Rd2da9bff2ac348c1" /><Relationship Type="http://schemas.openxmlformats.org/officeDocument/2006/relationships/hyperlink" Target="https://meteor.aihw.gov.au/RegistrationAuthority/12" TargetMode="External" Id="R4fa7a77b81f64931" /></Relationships>
</file>

<file path=word/_rels/header1.xml.rels>&#65279;<?xml version="1.0" encoding="utf-8"?><Relationships xmlns="http://schemas.openxmlformats.org/package/2006/relationships"><Relationship Type="http://schemas.openxmlformats.org/officeDocument/2006/relationships/image" Target="/media/image.png" Id="R2db4120c0d9142d4" /></Relationships>
</file>