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010dcfe02e4e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7606d98a9490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The analyses by state/territory remoteness area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w:t>
            </w:r>
          </w:p>
          <w:p>
            <w:pPr>
              <w:pStyle w:val="ListParagraph"/>
              <w:numPr>
                <w:ilvl w:val="0"/>
                <w:numId w:val="2"/>
              </w:numPr>
            </w:pPr>
            <w:r>
              <w:rPr>
                <w:rStyle w:val="row-content-rich-text"/>
              </w:rPr>
              <w:t xml:space="preserve">Medical claims that are reimbursed through the Department of Veterans' Affairs are not included in this measure.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dc35dd50dd124970">
              <w:r>
                <w:rPr>
                  <w:rStyle w:val="Hyperlink"/>
                </w:rPr>
                <w:t xml:space="preserve">http://www.nhhrc.org.au/internet/main/publishing.nsf/Content/Medicare+Statistics-1</w:t>
              </w:r>
            </w:hyperlink>
          </w:p>
          <w:p>
            <w:hyperlink w:history="true" r:id="R1d936461e81d4ccd">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be6ef6a4ab5940dc">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area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093c079f2a458c">
              <w:r>
                <w:rPr>
                  <w:rStyle w:val="Hyperlink"/>
                </w:rPr>
                <w:t xml:space="preserve">National Healthcare Agreement: PI 24: GP-type services, 2011 QS</w:t>
              </w:r>
            </w:hyperlink>
          </w:p>
          <w:p>
            <w:pPr>
              <w:spacing w:before="0" w:after="0"/>
            </w:pPr>
            <w:r>
              <w:rPr>
                <w:rStyle w:val="row-content"/>
                <w:color w:val="244061"/>
              </w:rPr>
              <w:t xml:space="preserve">       </w:t>
            </w:r>
            <w:hyperlink w:history="true" r:id="R9a88267172584f4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53f2ce2a70341de">
              <w:r>
                <w:rPr>
                  <w:rStyle w:val="Hyperlink"/>
                </w:rPr>
                <w:t xml:space="preserve">National Healthcare Agreement: P24-GP-type services, 2010</w:t>
              </w:r>
            </w:hyperlink>
          </w:p>
          <w:p>
            <w:pPr>
              <w:spacing w:before="0" w:after="0"/>
            </w:pPr>
            <w:r>
              <w:rPr>
                <w:rStyle w:val="row-content"/>
                <w:color w:val="244061"/>
              </w:rPr>
              <w:t xml:space="preserve">       </w:t>
            </w:r>
            <w:hyperlink w:history="true" r:id="R1e0da413a474499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93269251ddc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ba640c81f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269251ddc41bc" /><Relationship Type="http://schemas.openxmlformats.org/officeDocument/2006/relationships/header" Target="/word/header1.xml" Id="R83c66a07ada4418f" /><Relationship Type="http://schemas.openxmlformats.org/officeDocument/2006/relationships/settings" Target="/word/settings.xml" Id="Ra8dc8486f9e34225" /><Relationship Type="http://schemas.openxmlformats.org/officeDocument/2006/relationships/styles" Target="/word/styles.xml" Id="Rc75328a897f54911" /><Relationship Type="http://schemas.openxmlformats.org/officeDocument/2006/relationships/hyperlink" Target="https://meteor.aihw.gov.au/RegistrationAuthority/12" TargetMode="External" Id="R57d7606d98a94906" /><Relationship Type="http://schemas.openxmlformats.org/officeDocument/2006/relationships/numbering" Target="/word/numbering.xml" Id="Refdea39b15df41ae" /><Relationship Type="http://schemas.openxmlformats.org/officeDocument/2006/relationships/hyperlink" Target="http://www.nhhrc.org.au/internet/main/publishing.nsf/Content/Medicare+Statistics-1" TargetMode="External" Id="Rdc35dd50dd124970" /><Relationship Type="http://schemas.openxmlformats.org/officeDocument/2006/relationships/hyperlink" Target="https://www.medicareaustralia.gov.au/statistics/mbs_item.shtml" TargetMode="External" Id="R1d936461e81d4ccd" /><Relationship Type="http://schemas.openxmlformats.org/officeDocument/2006/relationships/hyperlink" Target="http://www.health.gov.au/internet/mbsonline/publishing.nsf/content/medicare-benefits-schedule-mbs-1" TargetMode="External" Id="Rbe6ef6a4ab5940dc" /><Relationship Type="http://schemas.openxmlformats.org/officeDocument/2006/relationships/hyperlink" Target="https://meteor.aihw.gov.au/content/448117" TargetMode="External" Id="Rf0093c079f2a458c" /><Relationship Type="http://schemas.openxmlformats.org/officeDocument/2006/relationships/hyperlink" Target="https://meteor.aihw.gov.au/RegistrationAuthority/12" TargetMode="External" Id="R9a88267172584f48" /><Relationship Type="http://schemas.openxmlformats.org/officeDocument/2006/relationships/hyperlink" Target="https://meteor.aihw.gov.au/content/394776" TargetMode="External" Id="Rc53f2ce2a70341de" /><Relationship Type="http://schemas.openxmlformats.org/officeDocument/2006/relationships/hyperlink" Target="https://meteor.aihw.gov.au/RegistrationAuthority/12" TargetMode="External" Id="R1e0da413a4744993" /></Relationships>
</file>

<file path=word/_rels/header1.xml.rels>&#65279;<?xml version="1.0" encoding="utf-8"?><Relationships xmlns="http://schemas.openxmlformats.org/package/2006/relationships"><Relationship Type="http://schemas.openxmlformats.org/officeDocument/2006/relationships/image" Target="/media/image.png" Id="Rfdcba640c81f47c8" /></Relationships>
</file>