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62d79c1531434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P23-Selected potentially avoidable GP-type presentations to emergency departments,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P23-Selected potentially avoidable GP-type presentations to emergency departments,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84b6a3bd8462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Coverage of the data collection is almost complete for public hospitals in peer groups A and B. Hospitals in these peer groups provided approximately 69% of all Emergency Department services.</w:t>
            </w:r>
          </w:p>
          <w:p>
            <w:pPr>
              <w:pStyle w:val="ListParagraph"/>
              <w:numPr>
                <w:ilvl w:val="0"/>
                <w:numId w:val="2"/>
              </w:numPr>
            </w:pPr>
            <w:r>
              <w:rPr>
                <w:rStyle w:val="row-content-rich-text"/>
              </w:rPr>
              <w:t xml:space="preserve">The quality of the data reported for Indigenous status in emergency departments has not been formally assessed for completeness; therefore, caution should be exercised when interpreting these data.</w:t>
            </w:r>
          </w:p>
          <w:p>
            <w:pPr>
              <w:pStyle w:val="ListParagraph"/>
              <w:numPr>
                <w:ilvl w:val="0"/>
                <w:numId w:val="2"/>
              </w:numPr>
            </w:pPr>
            <w:r>
              <w:rPr>
                <w:rStyle w:val="row-content-rich-text"/>
              </w:rPr>
              <w:t xml:space="preserve">As the indicator is limited to hospitals in peer groups A and B, disaggregation by remoteness and Indigenous status should be interpreted with caution.</w:t>
            </w:r>
          </w:p>
          <w:p>
            <w:pPr>
              <w:pStyle w:val="ListParagraph"/>
              <w:numPr>
                <w:ilvl w:val="0"/>
                <w:numId w:val="2"/>
              </w:numPr>
            </w:pPr>
            <w:r>
              <w:rPr>
                <w:rStyle w:val="row-content-rich-text"/>
              </w:rPr>
              <w:t xml:space="preserve">Remoteness and socioeconomic status are based on the reported area of usual residence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AIHW by state and territory health authorities. The state and territory health authorities received these data from public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2cc72cc6a321498c">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National Non-admitted Patient Emergency Department Care Database (NNAPEDCD) data. Published products available on the AIHW website include </w:t>
            </w:r>
            <w:r>
              <w:rPr>
                <w:rStyle w:val="row-content-rich-text"/>
                <w:i/>
              </w:rPr>
              <w:t xml:space="preserve">Australian hospital statistics</w:t>
            </w:r>
            <w:r>
              <w:rPr>
                <w:rStyle w:val="row-content-rich-text"/>
              </w:rPr>
              <w:t xml:space="preserve">, and associated Excel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NNAPEDCD are published annually in </w:t>
            </w:r>
            <w:r>
              <w:rPr>
                <w:rStyle w:val="row-content-rich-text"/>
                <w:i/>
              </w:rPr>
              <w:t xml:space="preserve">Australian hospital statistics</w:t>
            </w:r>
            <w:r>
              <w:rPr>
                <w:rStyle w:val="row-content-rich-text"/>
              </w:rPr>
              <w:t xml:space="preserve"> (Chapter 5 and technical appendixes), available in hard copy or on the AIHW website. Readers are advised to read caveat information to ensure appropriate interpretation of the performance indicator. Supporting information includes discussion of coverage that might affect interpretation of the published data. Metadata information for the Non-admitted patient emergency department care national minimum data set (NAPEDC NMDS)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NAPEDC NMDS is to collect information on the characteristics of emergency department care (including waiting times for care) for non-admitted patients registered for care in emergency departments in selected public hospitals that were classified as either peer group A (Principal referral and Specialist women’s and children’s hospitals) or B (Large hospitals). Hospitals in these peer groups provided approximately 69% of all Emergency Department services.</w:t>
            </w:r>
          </w:p>
          <w:p>
            <w:pPr/>
            <w:r>
              <w:rPr>
                <w:rStyle w:val="row-content-rich-text"/>
              </w:rPr>
              <w:t xml:space="preserve">The definition is considered a reasonable starting approximation of the population that should be receiving service in the primary care sector. The indicator includes only peer group A (Principal referral and Specialist women’s and children’s hospitals) and peer group B (Large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the coverage of the NAPEDC NMDS was almost 100% in all jurisdictions for public hospitals in peer groups A and B. 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Inaccurate responses may occur in all data provided to the AIHW, and the AIHW does not have direct access to hospital records to determine the accuracy of the data provided.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p>
          <w:p>
            <w:pPr>
              <w:spacing w:after="160"/>
            </w:pPr>
            <w:r>
              <w:rPr>
                <w:rStyle w:val="row-content-rich-text"/>
              </w:rPr>
              <w:t xml:space="preserve">The quality of the data reported for Indigenous status in emergency departments has not been formally assessed for completeness; therefore, caution should be exercised when interpreting these data.</w:t>
            </w:r>
          </w:p>
          <w:p>
            <w:pPr>
              <w:spacing w:after="160"/>
            </w:pPr>
            <w:r>
              <w:rPr>
                <w:rStyle w:val="row-content-rich-text"/>
              </w:rPr>
              <w:t xml:space="preserve">As this indicator is limited to public hospitals which were classified in peer groups A and B, most of the data relates to hospitals within major cities. Consequently, the coverage may not include areas where the proportion of Indigenous people (compared with other Australians) may be higher than average. Similarly, disaggregations by socioeconomic status and remoteness area should be interpreted with caution.</w:t>
            </w:r>
          </w:p>
          <w:p>
            <w:pPr/>
            <w:r>
              <w:rPr>
                <w:rStyle w:val="row-content-rich-text"/>
              </w:rPr>
              <w:t xml:space="preserve">Remoteness area and socioeconomic status are based on the reported area of usual residence of the patient. The SEIFA categories for socioeconomic status are at the national level, not at the individual state/territory level. Some data have been suppressed to protect confidentiality, or where data quality is known to be of insufficient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the same data and analysis methods used in </w:t>
            </w:r>
            <w:r>
              <w:rPr>
                <w:rStyle w:val="row-content-rich-text"/>
                <w:i/>
              </w:rPr>
              <w:t xml:space="preserve">Australian hospital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084f394ce64f9a">
              <w:r>
                <w:rPr>
                  <w:rStyle w:val="Hyperlink"/>
                </w:rPr>
                <w:t xml:space="preserve">National Healthcare Agreement: PI 23: Selected potentially avoidable GP-type presentations to emergency departments, 2011 QS</w:t>
              </w:r>
            </w:hyperlink>
          </w:p>
          <w:p>
            <w:pPr>
              <w:spacing w:before="0" w:after="0"/>
            </w:pPr>
            <w:r>
              <w:rPr>
                <w:rStyle w:val="row-content"/>
                <w:color w:val="244061"/>
              </w:rPr>
              <w:t xml:space="preserve">       </w:t>
            </w:r>
            <w:hyperlink w:history="true" r:id="R29c34a9995934d6f">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4dcebb9ac6948ae">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f99748c21aa941c5">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12fc2ace066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ebb723c17740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2fc2ace0664971" /><Relationship Type="http://schemas.openxmlformats.org/officeDocument/2006/relationships/header" Target="/word/header1.xml" Id="R98662cc21f954604" /><Relationship Type="http://schemas.openxmlformats.org/officeDocument/2006/relationships/settings" Target="/word/settings.xml" Id="R0d422502a06f4539" /><Relationship Type="http://schemas.openxmlformats.org/officeDocument/2006/relationships/styles" Target="/word/styles.xml" Id="R7590f697b06440f9" /><Relationship Type="http://schemas.openxmlformats.org/officeDocument/2006/relationships/hyperlink" Target="https://meteor.aihw.gov.au/RegistrationAuthority/12" TargetMode="External" Id="R58184b6a3bd8462c" /><Relationship Type="http://schemas.openxmlformats.org/officeDocument/2006/relationships/numbering" Target="/word/numbering.xml" Id="Rd6f8ca8e1dff4064" /><Relationship Type="http://schemas.openxmlformats.org/officeDocument/2006/relationships/hyperlink" Target="http://www.aihw.gov.au/committees/simc/final_nhia_signed.doc" TargetMode="External" Id="R2cc72cc6a321498c" /><Relationship Type="http://schemas.openxmlformats.org/officeDocument/2006/relationships/hyperlink" Target="https://meteor.aihw.gov.au/content/448113" TargetMode="External" Id="R8b084f394ce64f9a" /><Relationship Type="http://schemas.openxmlformats.org/officeDocument/2006/relationships/hyperlink" Target="https://meteor.aihw.gov.au/RegistrationAuthority/12" TargetMode="External" Id="R29c34a9995934d6f" /><Relationship Type="http://schemas.openxmlformats.org/officeDocument/2006/relationships/hyperlink" Target="https://meteor.aihw.gov.au/content/394721" TargetMode="External" Id="Rb4dcebb9ac6948ae" /><Relationship Type="http://schemas.openxmlformats.org/officeDocument/2006/relationships/hyperlink" Target="https://meteor.aihw.gov.au/RegistrationAuthority/12" TargetMode="External" Id="Rf99748c21aa941c5" /></Relationships>
</file>

<file path=word/_rels/header1.xml.rels>&#65279;<?xml version="1.0" encoding="utf-8"?><Relationships xmlns="http://schemas.openxmlformats.org/package/2006/relationships"><Relationship Type="http://schemas.openxmlformats.org/officeDocument/2006/relationships/image" Target="/media/image.png" Id="R76ebb723c17740bd" /></Relationships>
</file>