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38857d9e65479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P13-Proportion of children with 4th year developmental health checks,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P13-Proportion of children with 4th year developmental health checks,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4df835723491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Medicare Benefits Schedule (MBS) items included in this indicator do not cover all developmental health check activity such as that conducted through state and territory early childhood health assessments in preschools and community health centres.</w:t>
            </w:r>
          </w:p>
          <w:p>
            <w:pPr>
              <w:pStyle w:val="ListParagraph"/>
              <w:numPr>
                <w:ilvl w:val="0"/>
                <w:numId w:val="2"/>
              </w:numPr>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w:t>
            </w:r>
          </w:p>
          <w:p>
            <w:pPr>
              <w:pStyle w:val="ListParagraph"/>
              <w:numPr>
                <w:ilvl w:val="0"/>
                <w:numId w:val="2"/>
              </w:numPr>
            </w:pPr>
            <w:r>
              <w:rPr>
                <w:rStyle w:val="row-content-rich-text"/>
              </w:rPr>
              <w:t xml:space="preserve">No adjustment was made to this indicator to account for under-identification of Indigenous children in Medicare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is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This data is then regularly provided to the Department of Health and Ageing.</w:t>
            </w:r>
          </w:p>
          <w:p>
            <w:pPr/>
            <w:r>
              <w:rPr>
                <w:rStyle w:val="row-content-rich-text"/>
              </w:rPr>
              <w:t xml:space="preserve">The numerator for this indicator was prepared by the Department of Health and Ageing and quality-assessed by the Australian Institute of Health and Welfare (AIHW). The AIHW prepared the denominator and calculated the indicator based on numerators supplied.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MBS claims data are available within 14 days of the end of a month. 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16a40bd69205459d">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201fd3a6b8b24ca9">
              <w:r>
                <w:rPr>
                  <w:rStyle w:val="Hyperlink"/>
                </w:rPr>
                <w:t xml:space="preserve">http://www.nhhrc.org.au/internet/main/publishing.nsf/Content/Medicare+Statistics-1</w:t>
              </w:r>
            </w:hyperlink>
          </w:p>
          <w:p>
            <w:hyperlink w:history="true" r:id="Re6e74e67452a40c8">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for which claims data are available. Medicare data allows disaggregation by the demographic of the person and area (based on postcode) using data held on the Medicare system.</w:t>
            </w:r>
          </w:p>
          <w:p>
            <w:pPr>
              <w:spacing w:after="160"/>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4th year development health checks can be received when children are aged 3 to 5 years old.</w:t>
            </w:r>
          </w:p>
          <w:p>
            <w:pPr>
              <w:spacing w:after="160"/>
            </w:pPr>
            <w:r>
              <w:rPr>
                <w:rStyle w:val="row-content-rich-text"/>
              </w:rPr>
              <w:t xml:space="preserve">Data for MBS items 709 and 711 includes Indigenous children who received Healthy Kids Checks. Consequently, it has not been possible to produce an Indigenous disaggregation. A disaggregation by ‘type of health check’ has been reported instead.</w:t>
            </w:r>
          </w:p>
          <w:p>
            <w:pPr>
              <w:spacing w:after="160"/>
            </w:pPr>
            <w:r>
              <w:rPr>
                <w:rStyle w:val="row-content-rich-text"/>
              </w:rPr>
              <w:t xml:space="preserve">Data for total children was calculated using the total number of patients with MBS items 709, 711 or 708.</w:t>
            </w:r>
          </w:p>
          <w:p>
            <w:pPr>
              <w:spacing w:after="160"/>
            </w:pPr>
            <w:r>
              <w:rPr>
                <w:rStyle w:val="row-content-rich-text"/>
              </w:rPr>
              <w:t xml:space="preserve">The figures for the Northern Territory exclude children receiving Northern Territory Emergency Response Child Health Checks.</w:t>
            </w:r>
          </w:p>
          <w:p>
            <w:pPr/>
            <w:r>
              <w:rPr>
                <w:rStyle w:val="row-content-rich-text"/>
              </w:rPr>
              <w:t xml:space="preserve">The 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location during the reference period are allocated to the postcode of their address at date of last service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Children who received more than one type of health check (MBS items 709, 711 and 708) are counted once only in the calculations for this indicator. Where an Indigenous child received more than one Aboriginal and Torres Strait Islander population Child Health Check during the reference period, the child was only counted once in the numerator.</w:t>
            </w:r>
          </w:p>
          <w:p>
            <w:pPr>
              <w:spacing w:after="160"/>
            </w:pPr>
            <w:r>
              <w:rPr>
                <w:rStyle w:val="row-content-rich-text"/>
              </w:rPr>
              <w:t xml:space="preserve">Where a child has received more than one health check during the relevant period, the residence at the time of the last service is used to allocate them to a remoteness and SEIFA category.</w:t>
            </w:r>
          </w:p>
          <w:p>
            <w:pPr>
              <w:spacing w:after="160"/>
            </w:pPr>
            <w:r>
              <w:rPr>
                <w:rStyle w:val="row-content-rich-text"/>
              </w:rPr>
              <w:t xml:space="preserve">Medicare data presented by Indigenous status have not been adjusted to account for known under-identification of Indigenous status in MBS data.</w:t>
            </w:r>
          </w:p>
          <w:p>
            <w:pPr/>
            <w:r>
              <w:rPr>
                <w:rStyle w:val="row-content-rich-text"/>
              </w:rPr>
              <w:t xml:space="preserve">Cells have been suppressed to protect confidentiality (where the presentation could identify a patient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w:t>
            </w:r>
          </w:p>
          <w:p>
            <w:pPr/>
            <w:r>
              <w:rPr>
                <w:rStyle w:val="row-content-rich-text"/>
              </w:rPr>
              <w:t xml:space="preserve">Disaggregation by SEIFA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33afd7027a45e2">
              <w:r>
                <w:rPr>
                  <w:rStyle w:val="Hyperlink"/>
                </w:rPr>
                <w:t xml:space="preserve">National Healthcare Agreement: PI 13-Proportion of children with 4th year developmental health check, 2011 QS</w:t>
              </w:r>
            </w:hyperlink>
          </w:p>
          <w:p>
            <w:pPr>
              <w:spacing w:before="0" w:after="0"/>
            </w:pPr>
            <w:r>
              <w:rPr>
                <w:rStyle w:val="row-content"/>
                <w:color w:val="244061"/>
              </w:rPr>
              <w:t xml:space="preserve">       </w:t>
            </w:r>
            <w:hyperlink w:history="true" r:id="Rc54df226afcf4d6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09f4b6ce13e4372">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f1fa53e7e344449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b3a8a2b626a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c5b6e5768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a8a2b626a4d6f" /><Relationship Type="http://schemas.openxmlformats.org/officeDocument/2006/relationships/header" Target="/word/header1.xml" Id="R4edc32a0f0974e73" /><Relationship Type="http://schemas.openxmlformats.org/officeDocument/2006/relationships/settings" Target="/word/settings.xml" Id="Rbb159ad52e924a00" /><Relationship Type="http://schemas.openxmlformats.org/officeDocument/2006/relationships/styles" Target="/word/styles.xml" Id="R34d1688ef86b4830" /><Relationship Type="http://schemas.openxmlformats.org/officeDocument/2006/relationships/hyperlink" Target="https://meteor.aihw.gov.au/RegistrationAuthority/12" TargetMode="External" Id="Recd4df8357234917" /><Relationship Type="http://schemas.openxmlformats.org/officeDocument/2006/relationships/numbering" Target="/word/numbering.xml" Id="R1b85847fedcf4c29" /><Relationship Type="http://schemas.openxmlformats.org/officeDocument/2006/relationships/hyperlink" Target="http://www.health.gov.au/internet/mbsonline/publishing.nsf/content/medicare-benefits-schedule-mbs-1" TargetMode="External" Id="R16a40bd69205459d" /><Relationship Type="http://schemas.openxmlformats.org/officeDocument/2006/relationships/hyperlink" Target="http://www.nhhrc.org.au/internet/main/publishing.nsf/Content/Medicare+Statistics-1" TargetMode="External" Id="R201fd3a6b8b24ca9" /><Relationship Type="http://schemas.openxmlformats.org/officeDocument/2006/relationships/hyperlink" Target="https://www.medicareaustralia.gov.au/statistics/mbs_item.shtml" TargetMode="External" Id="Re6e74e67452a40c8" /><Relationship Type="http://schemas.openxmlformats.org/officeDocument/2006/relationships/hyperlink" Target="https://meteor.aihw.gov.au/content/447985" TargetMode="External" Id="Ra933afd7027a45e2" /><Relationship Type="http://schemas.openxmlformats.org/officeDocument/2006/relationships/hyperlink" Target="https://meteor.aihw.gov.au/RegistrationAuthority/12" TargetMode="External" Id="Rc54df226afcf4d68" /><Relationship Type="http://schemas.openxmlformats.org/officeDocument/2006/relationships/hyperlink" Target="https://meteor.aihw.gov.au/content/394300" TargetMode="External" Id="Rc09f4b6ce13e4372" /><Relationship Type="http://schemas.openxmlformats.org/officeDocument/2006/relationships/hyperlink" Target="https://meteor.aihw.gov.au/RegistrationAuthority/12" TargetMode="External" Id="Rf1fa53e7e3444499" /></Relationships>
</file>

<file path=word/_rels/header1.xml.rels>&#65279;<?xml version="1.0" encoding="utf-8"?><Relationships xmlns="http://schemas.openxmlformats.org/package/2006/relationships"><Relationship Type="http://schemas.openxmlformats.org/officeDocument/2006/relationships/image" Target="/media/image.png" Id="Rfb9c5b6e57684a72" /></Relationships>
</file>