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3c2a7d664c46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P04-Incidence of selected cancers,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P04-Incidence of selected cancers,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198c76ffa445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(such as Qld, WA, SA and NT).</w:t>
            </w:r>
          </w:p>
          <w:p>
            <w:pPr>
              <w:pStyle w:val="ListParagraph"/>
              <w:numPr>
                <w:ilvl w:val="0"/>
                <w:numId w:val="2"/>
              </w:numPr>
            </w:pPr>
            <w:r>
              <w:rPr>
                <w:rStyle w:val="row-content-rich-text"/>
              </w:rPr>
              <w:t xml:space="preserve">Remoteness and socioeconomic status are based on postcode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Australian Institute of Health and Welfare (AIHW), is a collaborative partnership between the AIHW and the Australasian Association of Cancer Registries (AACR).</w:t>
            </w:r>
          </w:p>
          <w:p>
            <w:pPr>
              <w:spacing w:after="160"/>
            </w:pPr>
            <w:r>
              <w:rPr>
                <w:rStyle w:val="row-content-rich-text"/>
              </w:rPr>
              <w:t xml:space="preserve">Cancer incidence data are supplied to the AIHW by state and territory cancer registries. These data are compiled by the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are based on cancers diagnosed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w:t>
            </w:r>
            <w:r>
              <w:rPr>
                <w:rStyle w:val="row-content-rich-text"/>
                <w:i/>
              </w:rPr>
              <w:t xml:space="preserve">Cancer in Australia: an overview, </w:t>
            </w:r>
            <w:r>
              <w:rPr>
                <w:rStyle w:val="row-content-rich-text"/>
              </w:rPr>
              <w:t xml:space="preserve">2008. Information on all of the AIHW-held data sets, in this case the ACD, is available on the AIHW website. Information on Australian Bureau of Statistics (ABS) data is available on the ABS website. Extensive literature is also available on cancer coding and interpretation of cancer data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Confidence intervals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p>
          <w:p>
            <w:pPr/>
            <w:r>
              <w:rPr>
                <w:rStyle w:val="row-content-rich-text"/>
              </w:rPr>
              <w:t xml:space="preserve">Cells have been suppressed to protect confidentiality (where the presentation could identify a person or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this is the first year of reporting this indicator, these data are published annually. The AIHW has published the national incidence of breast and bowel cancer in 2006, which matches the data presented in this indicator. Incidence of other cancers in 2006 has not yet been published.</w:t>
            </w:r>
          </w:p>
          <w:p>
            <w:pPr/>
            <w:r>
              <w:rPr>
                <w:rStyle w:val="row-content-rich-text"/>
              </w:rPr>
              <w:t xml:space="preserve">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a32848e0a1492f">
              <w:r>
                <w:rPr>
                  <w:rStyle w:val="Hyperlink"/>
                </w:rPr>
                <w:t xml:space="preserve">National Healthcare Agreement: PI 04-Incidence of selected cancers, 2011 QS</w:t>
              </w:r>
            </w:hyperlink>
          </w:p>
          <w:p>
            <w:pPr>
              <w:spacing w:before="0" w:after="0"/>
            </w:pPr>
            <w:r>
              <w:rPr>
                <w:rStyle w:val="row-content"/>
                <w:color w:val="244061"/>
              </w:rPr>
              <w:t xml:space="preserve">       </w:t>
            </w:r>
            <w:hyperlink w:history="true" r:id="R2361a5b627ed451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0559b9af7b34058">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c08aefba8ea140b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d50131d24ee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84e17bbf5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0131d24ee42e0" /><Relationship Type="http://schemas.openxmlformats.org/officeDocument/2006/relationships/header" Target="/word/header1.xml" Id="Re3071df6108b41dc" /><Relationship Type="http://schemas.openxmlformats.org/officeDocument/2006/relationships/settings" Target="/word/settings.xml" Id="R1037582d035a4516" /><Relationship Type="http://schemas.openxmlformats.org/officeDocument/2006/relationships/styles" Target="/word/styles.xml" Id="Re6b6a4f97d404504" /><Relationship Type="http://schemas.openxmlformats.org/officeDocument/2006/relationships/hyperlink" Target="https://meteor.aihw.gov.au/RegistrationAuthority/12" TargetMode="External" Id="R041198c76ffa4452" /><Relationship Type="http://schemas.openxmlformats.org/officeDocument/2006/relationships/numbering" Target="/word/numbering.xml" Id="R055cb93d84324753" /><Relationship Type="http://schemas.openxmlformats.org/officeDocument/2006/relationships/hyperlink" Target="https://meteor.aihw.gov.au/content/447903" TargetMode="External" Id="R19a32848e0a1492f" /><Relationship Type="http://schemas.openxmlformats.org/officeDocument/2006/relationships/hyperlink" Target="https://meteor.aihw.gov.au/RegistrationAuthority/12" TargetMode="External" Id="R2361a5b627ed4514" /><Relationship Type="http://schemas.openxmlformats.org/officeDocument/2006/relationships/hyperlink" Target="https://meteor.aihw.gov.au/content/393532" TargetMode="External" Id="R70559b9af7b34058" /><Relationship Type="http://schemas.openxmlformats.org/officeDocument/2006/relationships/hyperlink" Target="https://meteor.aihw.gov.au/RegistrationAuthority/12" TargetMode="External" Id="Rc08aefba8ea140be" /></Relationships>
</file>

<file path=word/_rels/header1.xml.rels>&#65279;<?xml version="1.0" encoding="utf-8"?><Relationships xmlns="http://schemas.openxmlformats.org/package/2006/relationships"><Relationship Type="http://schemas.openxmlformats.org/officeDocument/2006/relationships/image" Target="/media/image.png" Id="R12084e17bbf54784" /></Relationships>
</file>