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dc4c51eeb4fb8"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primary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primary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9c9a129664b8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f0b97abee54713">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a6f2f9c11424c">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Gleason grade (a specific form of histopathological grade) refers to the tumour pattern which occupies the greatest area of tumour in sections from a needle core biopsy or radical prostatectomy specimen. This is assigned by a pathologist.</w:t>
            </w:r>
          </w:p>
          <w:p>
            <w:pPr>
              <w:spacing w:after="160"/>
            </w:pPr>
            <w:r>
              <w:rPr>
                <w:rStyle w:val="row-content-rich-text"/>
              </w:rPr>
              <w:t xml:space="preserve">Primary Gleason grades range from 1 to 5 and is an indicator of how likely it is that a tumour will spread. A low Gleason grade means the cancer tissue is similar to normal prostate tissue and the tumour is less likely to spread; a high Gleason grade means the cancer tissue is very different from normal and the tumour is more likely to spread. </w:t>
            </w:r>
          </w:p>
          <w:p>
            <w:pPr/>
            <w:r>
              <w:rPr>
                <w:rStyle w:val="row-content-rich-text"/>
              </w:rPr>
              <w:t xml:space="preserve">The primary Gleason grade is used in conjunction with the secondary Gleason grade to form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b2d992f046bf4afa">
              <w:r>
                <w:rPr>
                  <w:rStyle w:val="Hyperlink"/>
                  <w:b/>
                </w:rPr>
                <w:t xml:space="preserve">Gleason score</w:t>
              </w:r>
            </w:hyperlink>
            <w:r>
              <w:rPr>
                <w:rStyle w:val="row-content-rich-text"/>
              </w:rPr>
              <w:t xml:space="preserve"> (or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spacing w:after="160"/>
            </w:pPr>
            <w:r>
              <w:rPr>
                <w:rStyle w:val="row-content-rich-text"/>
              </w:rPr>
              <w:t xml:space="preserve">Royal College of Pathologists of Australasia 2014. Prostate cancer (radical prostatectomy) structured reporting protocol (2nd Ed.). Royal College of Pathologists of Australasia: Sydney.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8f6a65ad3564af3">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2e536bbfdb4b487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04af4ede9b824d9d">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19f851e837634ca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f6ffc5e3a941be">
              <w:r>
                <w:rPr>
                  <w:rStyle w:val="Hyperlink"/>
                </w:rPr>
                <w:t xml:space="preserve">Prostate cancer (clinical) NBPDS</w:t>
              </w:r>
            </w:hyperlink>
          </w:p>
          <w:p>
            <w:pPr>
              <w:spacing w:before="0" w:after="0"/>
            </w:pPr>
            <w:r>
              <w:rPr>
                <w:rStyle w:val="row-content"/>
                <w:color w:val="244061"/>
              </w:rPr>
              <w:t xml:space="preserve">       </w:t>
            </w:r>
            <w:hyperlink w:history="true" r:id="Re6b21b25ec62456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40f714121a6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392014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eaf04cd22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f714121a645c5" /><Relationship Type="http://schemas.openxmlformats.org/officeDocument/2006/relationships/header" Target="/word/header1.xml" Id="R7e896b9471094c27" /><Relationship Type="http://schemas.openxmlformats.org/officeDocument/2006/relationships/settings" Target="/word/settings.xml" Id="R1815e4bb8fb44856" /><Relationship Type="http://schemas.openxmlformats.org/officeDocument/2006/relationships/styles" Target="/word/styles.xml" Id="R271b2444107c429f" /><Relationship Type="http://schemas.openxmlformats.org/officeDocument/2006/relationships/hyperlink" Target="https://meteor.aihw.gov.au/RegistrationAuthority/12" TargetMode="External" Id="Rb1a9c9a129664b89" /><Relationship Type="http://schemas.openxmlformats.org/officeDocument/2006/relationships/hyperlink" Target="https://meteor.aihw.gov.au/content/288657" TargetMode="External" Id="R51f0b97abee54713" /><Relationship Type="http://schemas.openxmlformats.org/officeDocument/2006/relationships/hyperlink" Target="https://meteor.aihw.gov.au/content/392730" TargetMode="External" Id="R78ba6f2f9c11424c" /><Relationship Type="http://schemas.openxmlformats.org/officeDocument/2006/relationships/hyperlink" Target="https://meteor.aihw.gov.au/content/598061" TargetMode="External" Id="Rb2d992f046bf4afa" /><Relationship Type="http://schemas.openxmlformats.org/officeDocument/2006/relationships/hyperlink" Target="https://meteor.aihw.gov.au/content/436191" TargetMode="External" Id="Rc8f6a65ad3564af3" /><Relationship Type="http://schemas.openxmlformats.org/officeDocument/2006/relationships/hyperlink" Target="https://meteor.aihw.gov.au/RegistrationAuthority/12" TargetMode="External" Id="R2e536bbfdb4b487b" /><Relationship Type="http://schemas.openxmlformats.org/officeDocument/2006/relationships/hyperlink" Target="https://meteor.aihw.gov.au/content/436185" TargetMode="External" Id="R04af4ede9b824d9d" /><Relationship Type="http://schemas.openxmlformats.org/officeDocument/2006/relationships/hyperlink" Target="https://meteor.aihw.gov.au/RegistrationAuthority/12" TargetMode="External" Id="R19f851e837634cab" /><Relationship Type="http://schemas.openxmlformats.org/officeDocument/2006/relationships/hyperlink" Target="https://meteor.aihw.gov.au/content/481386" TargetMode="External" Id="Rccf6ffc5e3a941be" /><Relationship Type="http://schemas.openxmlformats.org/officeDocument/2006/relationships/hyperlink" Target="https://meteor.aihw.gov.au/RegistrationAuthority/12" TargetMode="External" Id="Re6b21b25ec624561" /></Relationships>
</file>

<file path=word/_rels/header1.xml.rels>&#65279;<?xml version="1.0" encoding="utf-8"?><Relationships xmlns="http://schemas.openxmlformats.org/package/2006/relationships"><Relationship Type="http://schemas.openxmlformats.org/officeDocument/2006/relationships/image" Target="/media/image.png" Id="R514eaf04cd224fc8" /></Relationships>
</file>