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cf161760eb4903" /></Relationships>
</file>

<file path=word/document.xml><?xml version="1.0" encoding="utf-8"?>
<w:document xmlns:r="http://schemas.openxmlformats.org/officeDocument/2006/relationships" xmlns:w="http://schemas.openxmlformats.org/wordprocessingml/2006/main">
  <w:body>
    <w:p>
      <w:pPr>
        <w:pStyle w:val="Title"/>
      </w:pPr>
      <w:r>
        <w:t>Reason for NDA service cessation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NDA service cessation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c05ce910647f8">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an NDA service user leaves the service type outlet.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b/>
              </w:rPr>
              <w:t xml:space="preserve">Code 1</w:t>
            </w:r>
            <w:r>
              <w:rPr>
                <w:rStyle w:val="row-content-rich-text"/>
              </w:rPr>
              <w:t xml:space="preserve">   </w:t>
            </w:r>
            <w:r>
              <w:rPr>
                <w:rStyle w:val="row-content-rich-text"/>
                <w:b/>
              </w:rPr>
              <w:t xml:space="preserve">Service user no longer needs assistance—moved to mainstream services</w:t>
            </w:r>
            <w:r>
              <w:rPr>
                <w:rStyle w:val="row-content-rich-text"/>
              </w:rPr>
              <w:t xml:space="preserve">: moved to mainstream services: the service user has moved on to mainstream services (e.g. to TAFE or further education, from employment service to paid open labour market).</w:t>
            </w:r>
          </w:p>
          <w:p>
            <w:pPr>
              <w:spacing w:after="160"/>
            </w:pPr>
            <w:r>
              <w:rPr>
                <w:rStyle w:val="row-content-rich-text"/>
                <w:b/>
              </w:rPr>
              <w:t xml:space="preserve">Code 2   Service user no longer needs assistance—other</w:t>
            </w:r>
            <w:r>
              <w:rPr>
                <w:rStyle w:val="row-content-rich-text"/>
              </w:rPr>
              <w:t xml:space="preserve">: 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b/>
              </w:rPr>
              <w:t xml:space="preserve">Code 3   Service user moved to residential, institutional or supported accommodation setting—</w:t>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b/>
              </w:rPr>
              <w:t xml:space="preserve">Code 4   Service user’s needs have increased—other service type required</w:t>
            </w:r>
            <w:r>
              <w:rPr>
                <w:rStyle w:val="row-content-rich-text"/>
              </w:rPr>
              <w:t xml:space="preserve">: the service user’s needs have increased to the point where the service type outlet is no longer the most appropriate service type outlet.</w:t>
            </w:r>
          </w:p>
          <w:p>
            <w:pPr>
              <w:spacing w:after="160"/>
            </w:pPr>
            <w:r>
              <w:rPr>
                <w:rStyle w:val="row-content-rich-text"/>
                <w:b/>
              </w:rPr>
              <w:t xml:space="preserve">Code 5   Services terminated due to budget/staffing constraints</w:t>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b/>
              </w:rPr>
              <w:t xml:space="preserve">Code 6   Services terminated due to Occupational Health and Safety (OHS) reasons</w:t>
            </w:r>
            <w:r>
              <w:rPr>
                <w:rStyle w:val="row-content-rich-text"/>
              </w:rPr>
              <w:t xml:space="preserve">—service type outlet terminated service to service user for worker (or volunteer) occupational health and safety reasons.</w:t>
            </w:r>
          </w:p>
          <w:p>
            <w:pPr>
              <w:spacing w:after="160"/>
            </w:pPr>
            <w:r>
              <w:rPr>
                <w:rStyle w:val="row-content-rich-text"/>
                <w:b/>
              </w:rPr>
              <w:t xml:space="preserve">Code 7   Service user moved out of area</w:t>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b/>
              </w:rPr>
              <w:t xml:space="preserve">Code 8   Service user died</w:t>
            </w:r>
          </w:p>
          <w:p>
            <w:pPr>
              <w:spacing w:after="160"/>
            </w:pPr>
            <w:r>
              <w:rPr>
                <w:rStyle w:val="row-content-rich-text"/>
                <w:b/>
              </w:rPr>
              <w:t xml:space="preserve">Code 9   Service user terminated service</w:t>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r>
              <w:rPr>
                <w:rStyle w:val="row-content-rich-text"/>
                <w:b/>
              </w:rPr>
              <w:t xml:space="preserve">Code 10   Other</w:t>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5432bee9464b1e">
              <w:r>
                <w:rPr>
                  <w:rStyle w:val="Hyperlink"/>
                </w:rPr>
                <w:t xml:space="preserve">Reason for NDA service cessation code N[N]</w:t>
              </w:r>
            </w:hyperlink>
          </w:p>
          <w:p>
            <w:pPr>
              <w:spacing w:before="0" w:after="0"/>
            </w:pPr>
            <w:r>
              <w:rPr>
                <w:rStyle w:val="row-content"/>
                <w:color w:val="244061"/>
              </w:rPr>
              <w:t xml:space="preserve">       </w:t>
            </w:r>
            <w:hyperlink w:history="true" r:id="Rde0e8c1af43a411a">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cf7b74196149fd">
              <w:r>
                <w:rPr>
                  <w:rStyle w:val="Hyperlink"/>
                </w:rPr>
                <w:t xml:space="preserve">Service episode—service cessation reason, NDA code N[N]</w:t>
              </w:r>
            </w:hyperlink>
          </w:p>
          <w:p>
            <w:pPr>
              <w:spacing w:before="0" w:after="0"/>
            </w:pPr>
            <w:r>
              <w:rPr>
                <w:rStyle w:val="row-content"/>
                <w:color w:val="244061"/>
              </w:rPr>
              <w:t xml:space="preserve">       </w:t>
            </w:r>
            <w:hyperlink w:history="true" r:id="Rf8c18c42d7a54bcf">
              <w:r>
                <w:rPr>
                  <w:rStyle w:val="Hyperlink"/>
                  <w:color w:val="244061"/>
                </w:rPr>
                <w:t xml:space="preserve">Community Services (retired)</w:t>
              </w:r>
            </w:hyperlink>
            <w:r>
              <w:rPr>
                <w:rStyle w:val="row-content"/>
                <w:color w:val="244061"/>
              </w:rPr>
              <w:t xml:space="preserve">, Superseded 10/04/2013</w:t>
            </w:r>
          </w:p>
          <w:p>
            <w:r>
              <w:br/>
            </w:r>
          </w:p>
        </w:tc>
      </w:tr>
    </w:tbl>
    <w:p>
      <w:r>
        <w:br/>
      </w:r>
    </w:p>
    <w:sectPr>
      <w:footerReference xmlns:r="http://schemas.openxmlformats.org/officeDocument/2006/relationships" w:type="default" r:id="Rbb10a226f0f6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e6eb0d2fc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10a226f0f64ead" /><Relationship Type="http://schemas.openxmlformats.org/officeDocument/2006/relationships/header" Target="/word/header1.xml" Id="R6f13cbc31d0f47f6" /><Relationship Type="http://schemas.openxmlformats.org/officeDocument/2006/relationships/settings" Target="/word/settings.xml" Id="R4faac40ade4748af" /><Relationship Type="http://schemas.openxmlformats.org/officeDocument/2006/relationships/styles" Target="/word/styles.xml" Id="R0a7f442be2ec408f" /><Relationship Type="http://schemas.openxmlformats.org/officeDocument/2006/relationships/hyperlink" Target="https://meteor.aihw.gov.au/RegistrationAuthority/1" TargetMode="External" Id="Rb58c05ce910647f8" /><Relationship Type="http://schemas.openxmlformats.org/officeDocument/2006/relationships/hyperlink" Target="https://meteor.aihw.gov.au/content/587421" TargetMode="External" Id="Rfc5432bee9464b1e" /><Relationship Type="http://schemas.openxmlformats.org/officeDocument/2006/relationships/hyperlink" Target="https://meteor.aihw.gov.au/RegistrationAuthority/16" TargetMode="External" Id="Rde0e8c1af43a411a" /><Relationship Type="http://schemas.openxmlformats.org/officeDocument/2006/relationships/hyperlink" Target="https://meteor.aihw.gov.au/content/386527" TargetMode="External" Id="R90cf7b74196149fd" /><Relationship Type="http://schemas.openxmlformats.org/officeDocument/2006/relationships/hyperlink" Target="https://meteor.aihw.gov.au/RegistrationAuthority/1" TargetMode="External" Id="Rf8c18c42d7a54bcf" /></Relationships>
</file>

<file path=word/_rels/header1.xml.rels>&#65279;<?xml version="1.0" encoding="utf-8"?><Relationships xmlns="http://schemas.openxmlformats.org/package/2006/relationships"><Relationship Type="http://schemas.openxmlformats.org/officeDocument/2006/relationships/image" Target="/media/image.png" Id="R997e6eb0d2fc4fa6" /></Relationships>
</file>