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c9989bee8e4f98" /></Relationships>
</file>

<file path=word/document.xml><?xml version="1.0" encoding="utf-8"?>
<w:document xmlns:r="http://schemas.openxmlformats.org/officeDocument/2006/relationships" xmlns:w="http://schemas.openxmlformats.org/wordprocessingml/2006/main">
  <w:body>
    <w:p>
      <w:pPr>
        <w:pStyle w:val="Title"/>
      </w:pPr>
      <w:r>
        <w:t>Health industry relevant organisation—main activity type,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industry relevant organisation—main activity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 industry relevant organisation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372264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352e2f2ac9405c">
              <w:r>
                <w:rPr>
                  <w:rStyle w:val="Hyperlink"/>
                  <w:color w:val="244061"/>
                </w:rPr>
                <w:t xml:space="preserve">Health</w:t>
              </w:r>
            </w:hyperlink>
            <w:r>
              <w:rPr>
                <w:rStyle w:val="row-content"/>
                <w:color w:val="244061"/>
              </w:rPr>
              <w:t xml:space="preserve">, Standard 01/04/2009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a health industry relevant organisation based on its main activity,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9862fa002c4139">
              <w:r>
                <w:rPr>
                  <w:rStyle w:val="Hyperlink"/>
                </w:rPr>
                <w:t xml:space="preserve">Health industry relevant organisation—main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a3e35a482140b5">
              <w:r>
                <w:rPr>
                  <w:rStyle w:val="Hyperlink"/>
                </w:rPr>
                <w:t xml:space="preserve">Health industry relevant organisation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Main Health Care Services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Hospital – 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Hospital – private (excluding private free-standing day hospital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Hospital – private free-standing day hospital facility (excluding private non free-standing day hospital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Residential facility – mental health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Residential facility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Provider of ambulance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Medical and diagnostic laboratory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Clinical practices – medical – general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Clinical practices – medical – specialist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Clinical practices – medical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Clinical practices – dental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Clinical practices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Community health facility – substance abuse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Community health facility – mental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Community health facility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116</w:t>
            </w:r>
          </w:p>
        </w:tc>
        <w:tc>
          <w:tcPr>
            <w:tcBorders>
              <w:top w:val="none" w:color="000000" w:sz="0"/>
              <w:left w:val="none" w:color="000000" w:sz="0"/>
              <w:bottom w:val="none" w:color="000000" w:sz="0"/>
              <w:right w:val="none" w:color="000000" w:sz="0"/>
            </w:tcBorders>
            <w:vAlign w:val="top"/>
          </w:tcPr>
          <w:p>
            <w:r>
              <w:t xml:space="preserve">Blood and organ bank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Retail sale/supplier of medical goods – optical glasses and other vision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Retail sale/supplier of medical goods – hearing aids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Retail sale/supplier of medical goods – dispensing community 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Retail sale/supplier of medical goods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w:t>
            </w:r>
          </w:p>
        </w:tc>
        <w:tc>
          <w:tcPr>
            <w:tcBorders>
              <w:top w:val="none" w:color="000000" w:sz="0"/>
              <w:left w:val="none" w:color="000000" w:sz="0"/>
              <w:bottom w:val="none" w:color="000000" w:sz="0"/>
              <w:right w:val="none" w:color="000000" w:sz="0"/>
            </w:tcBorders>
            <w:vAlign w:val="top"/>
          </w:tcPr>
          <w:p>
            <w:r>
              <w:t xml:space="preserve">Public health program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w:t>
            </w:r>
          </w:p>
        </w:tc>
        <w:tc>
          <w:tcPr>
            <w:tcBorders>
              <w:top w:val="none" w:color="000000" w:sz="0"/>
              <w:left w:val="none" w:color="000000" w:sz="0"/>
              <w:bottom w:val="none" w:color="000000" w:sz="0"/>
              <w:right w:val="none" w:color="000000" w:sz="0"/>
            </w:tcBorders>
            <w:vAlign w:val="top"/>
          </w:tcPr>
          <w:p>
            <w:r>
              <w:t xml:space="preserve">General health administration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123</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188</w:t>
            </w:r>
          </w:p>
        </w:tc>
        <w:tc>
          <w:tcPr>
            <w:tcBorders>
              <w:top w:val="none" w:color="000000" w:sz="0"/>
              <w:left w:val="none" w:color="000000" w:sz="0"/>
              <w:bottom w:val="none" w:color="000000" w:sz="0"/>
              <w:right w:val="none" w:color="000000" w:sz="0"/>
            </w:tcBorders>
            <w:vAlign w:val="top"/>
          </w:tcPr>
          <w:p>
            <w:r>
              <w:t xml:space="preserve">Other Main Health Care Service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198</w:t>
            </w:r>
          </w:p>
        </w:tc>
        <w:tc>
          <w:tcPr>
            <w:tcBorders>
              <w:top w:val="none" w:color="000000" w:sz="0"/>
              <w:left w:val="none" w:color="000000" w:sz="0"/>
              <w:bottom w:val="none" w:color="000000" w:sz="0"/>
              <w:right w:val="none" w:color="000000" w:sz="0"/>
            </w:tcBorders>
            <w:vAlign w:val="top"/>
          </w:tcPr>
          <w:p>
            <w:r>
              <w:t xml:space="preserve">Regional health service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State/territory health authority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Secondary/non-Health Care Services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Pharmaceutical industry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University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Non-health related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Residential 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r>
              <w:br/>
            </w:r>
            <w:r>
              <w:t xml:space="preserve"> </w:t>
            </w:r>
          </w:p>
        </w:tc>
        <w:tc>
          <w:tcPr>
            <w:tcBorders>
              <w:top w:val="none" w:color="000000" w:sz="0"/>
              <w:left w:val="none" w:color="000000" w:sz="0"/>
              <w:bottom w:val="none" w:color="000000" w:sz="0"/>
              <w:right w:val="none" w:color="000000" w:sz="0"/>
            </w:tcBorders>
            <w:vAlign w:val="top"/>
          </w:tcPr>
          <w:p>
            <w:r>
              <w:t xml:space="preserve">Other Secondary/non-Health Care Services organisation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Main Health Care Service organisation</w:t>
            </w:r>
          </w:p>
          <w:p>
            <w:pPr>
              <w:spacing w:after="160"/>
            </w:pPr>
            <w:r>
              <w:rPr>
                <w:rStyle w:val="row-content-rich-text"/>
              </w:rPr>
              <w:t xml:space="preserve">CODE 101    Hospital – public</w:t>
            </w:r>
          </w:p>
          <w:p>
            <w:pPr>
              <w:spacing w:after="160"/>
            </w:pPr>
            <w:r>
              <w:rPr>
                <w:rStyle w:val="row-content-rich-text"/>
              </w:rPr>
              <w:t xml:space="preserve">An organisation comprised of a health care facility or group of health care facilities established under Commonwealth, state or territory legislation as a hospital or free-standing day hospital facility and authorised to provide treatment and/or care to patients. Comprises all health care facilities that are reported as public hospitals to the Public Hospital Establishments National Minimum Data Set (PHE NMDS). This includes organisations such as rehabilitation hospitals; psychiatric hospitals; mothercraft hospitals; and hospices and multi-purpose services defined as hospitals. The list of public hospitals reported to the PHE NMDS is available at </w:t>
            </w:r>
            <w:hyperlink w:history="true" r:id="Ra88bab75fbfe4d6c">
              <w:r>
                <w:rPr>
                  <w:rStyle w:val="Hyperlink"/>
                </w:rPr>
                <w:t xml:space="preserve">www.aihw.gov.au/publications/index.cfm</w:t>
              </w:r>
            </w:hyperlink>
            <w:r>
              <w:rPr>
                <w:rStyle w:val="row-content-rich-text"/>
              </w:rPr>
              <w:t xml:space="preserve"> in the Australian Hospital Statistics annual report.</w:t>
            </w:r>
          </w:p>
          <w:p>
            <w:pPr>
              <w:spacing w:after="160"/>
            </w:pPr>
            <w:r>
              <w:rPr>
                <w:rStyle w:val="row-content-rich-text"/>
              </w:rPr>
              <w:t xml:space="preserve">NOTE 1: Excludes providers of services where those services are not captured in the hospital financial statements. For example, the provider of a pathology or pharmacy service may be co-located within the hospital, but as a private service, and will pay the hospital for use of the site. The provider of this pathology or pharmacy service would be recorded under codes 106 to 112.</w:t>
            </w:r>
          </w:p>
          <w:p>
            <w:pPr>
              <w:spacing w:after="160"/>
            </w:pPr>
            <w:r>
              <w:rPr>
                <w:rStyle w:val="row-content-rich-text"/>
              </w:rPr>
              <w:t xml:space="preserve">CODE 102    Hospital – private (excluding private free-standing day hospital facilities)</w:t>
            </w:r>
          </w:p>
          <w:p>
            <w:pPr>
              <w:spacing w:after="160"/>
            </w:pPr>
            <w:r>
              <w:rPr>
                <w:rStyle w:val="row-content-rich-text"/>
              </w:rPr>
              <w:t xml:space="preserve">An organisation comprised of a health care facility or a group of health care facilities established under Commonwealth, state or territory legislation as a hospital and authorised to provide treatment and/or care to patients.</w:t>
            </w:r>
          </w:p>
          <w:p>
            <w:pPr>
              <w:spacing w:after="160"/>
            </w:pPr>
            <w:r>
              <w:rPr>
                <w:rStyle w:val="row-content-rich-text"/>
              </w:rPr>
              <w:t xml:space="preserve">Comprises hospitals that are NOT reporting to the PHE NMDS.</w:t>
            </w:r>
          </w:p>
          <w:p>
            <w:pPr>
              <w:spacing w:after="160"/>
            </w:pPr>
            <w:r>
              <w:rPr>
                <w:rStyle w:val="row-content-rich-text"/>
              </w:rPr>
              <w:t xml:space="preserve">NOTE: State and territory data providers are to refer to the GHE NMDS Collection Guidelines for instructions on how to report expenditure for this category.</w:t>
            </w:r>
          </w:p>
          <w:p>
            <w:pPr>
              <w:spacing w:after="160"/>
            </w:pPr>
            <w:r>
              <w:rPr>
                <w:rStyle w:val="row-content-rich-text"/>
              </w:rPr>
              <w:t xml:space="preserve">Excludes private free-standing day hospital facilities reported under code 103.</w:t>
            </w:r>
          </w:p>
          <w:p>
            <w:pPr>
              <w:spacing w:after="160"/>
            </w:pPr>
            <w:r>
              <w:rPr>
                <w:rStyle w:val="row-content-rich-text"/>
              </w:rPr>
              <w:t xml:space="preserve">CODE 103    Hospital - private free-standing day facility (excluding private non free-standing day hospital facilities)</w:t>
            </w:r>
          </w:p>
          <w:p>
            <w:pPr>
              <w:spacing w:after="160"/>
            </w:pPr>
            <w:r>
              <w:rPr>
                <w:rStyle w:val="row-content-rich-text"/>
              </w:rPr>
              <w:t xml:space="preserve">An organisation comprised of one or more private free-standing day hospital facilities which provide investigation and treatment for acute conditions on a day-only basis and is approved by the Commonwealth as a hospital for the purposes of private health insurance benefits. The four main types of private free-standing day hospitals are specialist endoscopy, ophthalmic, plastic/cosmetic and general. Excludes private non free-standing day hospital facilities reported under code 102.</w:t>
            </w:r>
          </w:p>
          <w:p>
            <w:pPr>
              <w:spacing w:after="160"/>
            </w:pPr>
            <w:r>
              <w:rPr>
                <w:rStyle w:val="row-content-rich-text"/>
              </w:rPr>
              <w:t xml:space="preserve">CODE 104    Residential facility – mental health care</w:t>
            </w:r>
          </w:p>
          <w:p>
            <w:pPr>
              <w:spacing w:after="160"/>
            </w:pPr>
            <w:r>
              <w:rPr>
                <w:rStyle w:val="row-content-rich-text"/>
              </w:rPr>
              <w:t xml:space="preserve">An organisation comprised of one or more specialised mental health facilities primarily engaged in providing residential care to persons requiring mental health diagnosis and treatment combined with either nursing, supervisory or other types of care as required (including medical) by the residents.</w:t>
            </w:r>
          </w:p>
          <w:p>
            <w:pPr>
              <w:spacing w:after="160"/>
            </w:pPr>
            <w:r>
              <w:rPr>
                <w:rStyle w:val="row-content-rich-text"/>
              </w:rPr>
              <w:t xml:space="preserve">Excludes residential care facilities primarily providing aged care or care for persons requiring treatment for alcohol or other substance abuse or persons with a disability.</w:t>
            </w:r>
          </w:p>
          <w:p>
            <w:pPr>
              <w:spacing w:after="160"/>
            </w:pPr>
            <w:r>
              <w:rPr>
                <w:rStyle w:val="row-content-rich-text"/>
              </w:rPr>
              <w:t xml:space="preserve">CODE 105    Residential facility – other</w:t>
            </w:r>
          </w:p>
          <w:p>
            <w:pPr>
              <w:spacing w:after="160"/>
            </w:pPr>
            <w:r>
              <w:rPr>
                <w:rStyle w:val="row-content-rich-text"/>
              </w:rPr>
              <w:t xml:space="preserve">Includes all government-funded facilities primarily engaged in providing residential care to persons requiring diagnosis and treatment for alcohol and other substance abuse combined with either nursing, supervisory or other types of care as required (including medical) by the residents. Includes hospices that are not defined as hospitals and respite and transitional care services.</w:t>
            </w:r>
          </w:p>
          <w:p>
            <w:pPr>
              <w:spacing w:after="160"/>
            </w:pPr>
            <w:r>
              <w:rPr>
                <w:rStyle w:val="row-content-rich-text"/>
              </w:rPr>
              <w:t xml:space="preserve">Excludes facilities primarily providing services to aged persons or persons requiring mental health diagnosis and treatment.</w:t>
            </w:r>
          </w:p>
          <w:p>
            <w:pPr>
              <w:spacing w:after="160"/>
            </w:pPr>
            <w:r>
              <w:rPr>
                <w:rStyle w:val="row-content-rich-text"/>
              </w:rPr>
              <w:t xml:space="preserve">Also excludes residential care facilities that report under the Commonwealth, State and Territory Disability Agreement where the primary purpose is care for persons with a disability.</w:t>
            </w:r>
          </w:p>
          <w:p>
            <w:pPr>
              <w:spacing w:after="160"/>
            </w:pPr>
            <w:r>
              <w:rPr>
                <w:rStyle w:val="row-content-rich-text"/>
              </w:rPr>
              <w:t xml:space="preserve">CODE 106    Provider of ambulance service</w:t>
            </w:r>
          </w:p>
          <w:p>
            <w:pPr>
              <w:spacing w:after="160"/>
            </w:pPr>
            <w:r>
              <w:rPr>
                <w:rStyle w:val="row-content-rich-text"/>
              </w:rPr>
              <w:t xml:space="preserve">Organisations primarily engaged in providing transportation of patients by ground or air, along with health (or medical) care. These services are often provided during a medical emergency but are not restricted to emergencies. The vehicles are equipped with lifesaving equipment operated by medically trained personnel. Includes organisations providing public ambulance services or flying doctor services such as Royal Flying Doctor Service and Care Flight, and support programs to assist isolated patients with travel to obtain specialised health care.</w:t>
            </w:r>
          </w:p>
          <w:p>
            <w:pPr>
              <w:spacing w:after="160"/>
            </w:pPr>
            <w:r>
              <w:rPr>
                <w:rStyle w:val="row-content-rich-text"/>
              </w:rPr>
              <w:t xml:space="preserve">NOTE 2: Excludes providers of services where those services are captured in public or private hospital financial statements. For example, the provider of an ambulance, medical or diagnostic laboratory, general practice, specialist medical, dental or other health practitioner service may be located within a hospital set of accounts and its expenditure recorded on the hospital financial statement. The provider of the ambulance or other service would then be recorded under code 101.</w:t>
            </w:r>
          </w:p>
          <w:p>
            <w:pPr>
              <w:spacing w:after="160"/>
            </w:pPr>
            <w:r>
              <w:rPr>
                <w:rStyle w:val="row-content-rich-text"/>
              </w:rPr>
              <w:t xml:space="preserve">CODE 107    Medical and diagnostic laboratory</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providing analytic or diagnostic services, including body fluid analysis and diagnostic imaging, generally to the medical profession or the patient on referral from a health practitioner. Includes diagnostic imaging centres; dental or medical X-ray laboratories ultrasound services; medical testing laboratories; medical pathology laboratories; medical forensic laboratories; and X-ray clinic services. Includes public and private medical and diagnostic laboratories.</w:t>
            </w:r>
          </w:p>
          <w:p>
            <w:pPr>
              <w:spacing w:after="160"/>
            </w:pPr>
            <w:r>
              <w:rPr>
                <w:rStyle w:val="row-content-rich-text"/>
              </w:rPr>
              <w:t xml:space="preserve">See NOTE 2 under code 106.</w:t>
            </w:r>
          </w:p>
          <w:p>
            <w:pPr>
              <w:spacing w:after="160"/>
            </w:pPr>
            <w:r>
              <w:rPr>
                <w:rStyle w:val="row-content-rich-text"/>
              </w:rPr>
              <w:t xml:space="preserve">CODE 108    Clinical practices – medical – general</w:t>
            </w:r>
          </w:p>
          <w:p>
            <w:pPr>
              <w:spacing w:after="160"/>
            </w:pPr>
            <w:r>
              <w:rPr>
                <w:rStyle w:val="row-content-rich-text"/>
              </w:rPr>
              <w:t xml:space="preserve">Organisations of registered medical practitioners holding the degree of a Doctor of medicine or a qualification at a corresponding level primarily engaged in the independent practice of general medicine. These practitioners operate private or group practices in their own offices (e.g., centres, clinics) or in the facilities of others, such as hospitals or medical centres.</w:t>
            </w:r>
          </w:p>
          <w:p>
            <w:pPr>
              <w:spacing w:after="160"/>
            </w:pPr>
            <w:r>
              <w:rPr>
                <w:rStyle w:val="row-content-rich-text"/>
              </w:rPr>
              <w:t xml:space="preserve">See NOTE 2 under code 106.</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CODE 109    Clinical practices – medical – specialist</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of health practitioners holding the degree of a Doctor of medicine or a qualification at a corresponding level primarily engaged in the independent practice of specialist medicine or surgery, other than pathology and diagnostic imaging services. These practitioners operate a wide range of specialities in private or group practices in their own offices (e.g., centres, clinics) or in the facilities of others, such as hospitals or health maintenance type medical centres. Includes for example:</w:t>
            </w:r>
          </w:p>
          <w:p>
            <w:pPr>
              <w:pStyle w:val="ListParagraph"/>
              <w:numPr>
                <w:ilvl w:val="0"/>
                <w:numId w:val="2"/>
              </w:numPr>
            </w:pPr>
            <w:r>
              <w:rPr>
                <w:rStyle w:val="row-content-rich-text"/>
              </w:rPr>
              <w:t xml:space="preserve">Anaesthetist service</w:t>
            </w:r>
          </w:p>
          <w:p>
            <w:pPr>
              <w:pStyle w:val="ListParagraph"/>
              <w:numPr>
                <w:ilvl w:val="0"/>
                <w:numId w:val="2"/>
              </w:numPr>
            </w:pPr>
            <w:r>
              <w:rPr>
                <w:rStyle w:val="row-content-rich-text"/>
              </w:rPr>
              <w:t xml:space="preserve">Dermatology service</w:t>
            </w:r>
          </w:p>
          <w:p>
            <w:pPr>
              <w:pStyle w:val="ListParagraph"/>
              <w:numPr>
                <w:ilvl w:val="0"/>
                <w:numId w:val="2"/>
              </w:numPr>
            </w:pPr>
            <w:r>
              <w:rPr>
                <w:rStyle w:val="row-content-rich-text"/>
              </w:rPr>
              <w:t xml:space="preserve">Ear, nose and throat specialist service</w:t>
            </w:r>
          </w:p>
          <w:p>
            <w:pPr>
              <w:pStyle w:val="ListParagraph"/>
              <w:numPr>
                <w:ilvl w:val="0"/>
                <w:numId w:val="2"/>
              </w:numPr>
            </w:pPr>
            <w:r>
              <w:rPr>
                <w:rStyle w:val="row-content-rich-text"/>
              </w:rPr>
              <w:t xml:space="preserve">Gynaecology service</w:t>
            </w:r>
          </w:p>
          <w:p>
            <w:pPr>
              <w:pStyle w:val="ListParagraph"/>
              <w:numPr>
                <w:ilvl w:val="0"/>
                <w:numId w:val="2"/>
              </w:numPr>
            </w:pPr>
            <w:r>
              <w:rPr>
                <w:rStyle w:val="row-content-rich-text"/>
              </w:rPr>
              <w:t xml:space="preserve">Neurology service</w:t>
            </w:r>
          </w:p>
          <w:p>
            <w:pPr>
              <w:pStyle w:val="ListParagraph"/>
              <w:numPr>
                <w:ilvl w:val="0"/>
                <w:numId w:val="2"/>
              </w:numPr>
            </w:pPr>
            <w:r>
              <w:rPr>
                <w:rStyle w:val="row-content-rich-text"/>
              </w:rPr>
              <w:t xml:space="preserve">Obstetrics service</w:t>
            </w:r>
          </w:p>
          <w:p>
            <w:pPr>
              <w:pStyle w:val="ListParagraph"/>
              <w:numPr>
                <w:ilvl w:val="0"/>
                <w:numId w:val="2"/>
              </w:numPr>
            </w:pPr>
            <w:r>
              <w:rPr>
                <w:rStyle w:val="row-content-rich-text"/>
              </w:rPr>
              <w:t xml:space="preserve">Paediatric service</w:t>
            </w:r>
          </w:p>
          <w:p>
            <w:pPr>
              <w:pStyle w:val="ListParagraph"/>
              <w:numPr>
                <w:ilvl w:val="0"/>
                <w:numId w:val="2"/>
              </w:numPr>
            </w:pPr>
            <w:r>
              <w:rPr>
                <w:rStyle w:val="row-content-rich-text"/>
              </w:rPr>
              <w:t xml:space="preserve">Psychiatry service</w:t>
            </w:r>
          </w:p>
          <w:p>
            <w:pPr>
              <w:pStyle w:val="ListParagraph"/>
              <w:numPr>
                <w:ilvl w:val="0"/>
                <w:numId w:val="2"/>
              </w:numPr>
            </w:pPr>
            <w:r>
              <w:rPr>
                <w:rStyle w:val="row-content-rich-text"/>
              </w:rPr>
              <w:t xml:space="preserve">Specialist medical clinic service</w:t>
            </w:r>
          </w:p>
          <w:p>
            <w:pPr>
              <w:pStyle w:val="ListParagraph"/>
              <w:numPr>
                <w:ilvl w:val="0"/>
                <w:numId w:val="2"/>
              </w:numPr>
            </w:pPr>
            <w:r>
              <w:rPr>
                <w:rStyle w:val="row-content-rich-text"/>
              </w:rPr>
              <w:t xml:space="preserve">Specialist surgical service</w:t>
            </w:r>
            <w:r>
              <w:br/>
            </w:r>
            <w:r>
              <w:rPr>
                <w:rStyle w:val="row-content-rich-text"/>
              </w:rPr>
              <w:t xml:space="preserve">See NOTE 2 under code 106.</w:t>
            </w:r>
          </w:p>
          <w:p>
            <w:pPr>
              <w:spacing w:after="160"/>
            </w:pPr>
            <w:r>
              <w:rPr>
                <w:rStyle w:val="row-content-rich-text"/>
              </w:rPr>
              <w:t xml:space="preserve">CODE 110    Clinical practices – medical – other</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Includes organisations of physicians not able to be allocated to Codes 108 or 109</w:t>
            </w:r>
          </w:p>
          <w:p>
            <w:pPr>
              <w:spacing w:after="160"/>
            </w:pPr>
            <w:r>
              <w:rPr>
                <w:rStyle w:val="row-content-rich-text"/>
              </w:rPr>
              <w:t xml:space="preserve">CODE 111    Clinical practices – dental</w:t>
            </w:r>
          </w:p>
          <w:p>
            <w:pPr>
              <w:spacing w:after="160"/>
            </w:pPr>
            <w:r>
              <w:rPr>
                <w:rStyle w:val="row-content-rich-text"/>
              </w:rPr>
              <w:t xml:space="preserve">Organisations of registered health practitioners holding the degree of Doctor of dental medicine or a qualification at a corresponding level primarily engaged in the independent practice of general or specialised dentistry or dental surgery. These practitioners operate private or group practices in their own offices (e.g., centres, clinics) or in the facilities of others, such as hospitals, medical centres or community health facilities. They can provide either comprehensive preventive, cosmetic, or emergency care, or specialise in a single field of dentistry. Also included are dental hospitals providing ambulatory services only. Includes for example:</w:t>
            </w:r>
          </w:p>
          <w:p>
            <w:pPr>
              <w:pStyle w:val="ListParagraph"/>
              <w:numPr>
                <w:ilvl w:val="0"/>
                <w:numId w:val="3"/>
              </w:numPr>
            </w:pPr>
            <w:r>
              <w:rPr>
                <w:rStyle w:val="row-content-rich-text"/>
              </w:rPr>
              <w:t xml:space="preserve">Cleft lip and palate services</w:t>
            </w:r>
          </w:p>
          <w:p>
            <w:pPr>
              <w:pStyle w:val="ListParagraph"/>
              <w:numPr>
                <w:ilvl w:val="0"/>
                <w:numId w:val="3"/>
              </w:numPr>
            </w:pPr>
            <w:r>
              <w:rPr>
                <w:rStyle w:val="row-content-rich-text"/>
              </w:rPr>
              <w:t xml:space="preserve">Community dental service</w:t>
            </w:r>
          </w:p>
          <w:p>
            <w:pPr>
              <w:pStyle w:val="ListParagraph"/>
              <w:numPr>
                <w:ilvl w:val="0"/>
                <w:numId w:val="3"/>
              </w:numPr>
            </w:pPr>
            <w:r>
              <w:rPr>
                <w:rStyle w:val="row-content-rich-text"/>
              </w:rPr>
              <w:t xml:space="preserve">Dental assessment and treatment</w:t>
            </w:r>
          </w:p>
          <w:p>
            <w:pPr>
              <w:pStyle w:val="ListParagraph"/>
              <w:numPr>
                <w:ilvl w:val="0"/>
                <w:numId w:val="3"/>
              </w:numPr>
            </w:pPr>
            <w:r>
              <w:rPr>
                <w:rStyle w:val="row-content-rich-text"/>
              </w:rPr>
              <w:t xml:space="preserve">Dental hospital (out-patient)</w:t>
            </w:r>
          </w:p>
          <w:p>
            <w:pPr>
              <w:pStyle w:val="ListParagraph"/>
              <w:numPr>
                <w:ilvl w:val="0"/>
                <w:numId w:val="3"/>
              </w:numPr>
            </w:pPr>
            <w:r>
              <w:rPr>
                <w:rStyle w:val="row-content-rich-text"/>
              </w:rPr>
              <w:t xml:space="preserve">Dental practice service</w:t>
            </w:r>
          </w:p>
          <w:p>
            <w:pPr>
              <w:pStyle w:val="ListParagraph"/>
              <w:numPr>
                <w:ilvl w:val="0"/>
                <w:numId w:val="3"/>
              </w:numPr>
            </w:pPr>
            <w:r>
              <w:rPr>
                <w:rStyle w:val="row-content-rich-text"/>
              </w:rPr>
              <w:t xml:space="preserve">Dental practitioner service</w:t>
            </w:r>
          </w:p>
          <w:p>
            <w:pPr>
              <w:pStyle w:val="ListParagraph"/>
              <w:numPr>
                <w:ilvl w:val="0"/>
                <w:numId w:val="3"/>
              </w:numPr>
            </w:pPr>
            <w:r>
              <w:rPr>
                <w:rStyle w:val="row-content-rich-text"/>
              </w:rPr>
              <w:t xml:space="preserve">Dental surgery service</w:t>
            </w:r>
          </w:p>
          <w:p>
            <w:pPr>
              <w:pStyle w:val="ListParagraph"/>
              <w:numPr>
                <w:ilvl w:val="0"/>
                <w:numId w:val="3"/>
              </w:numPr>
            </w:pPr>
            <w:r>
              <w:rPr>
                <w:rStyle w:val="row-content-rich-text"/>
              </w:rPr>
              <w:t xml:space="preserve">Endodontic service</w:t>
            </w:r>
          </w:p>
          <w:p>
            <w:pPr>
              <w:pStyle w:val="ListParagraph"/>
              <w:numPr>
                <w:ilvl w:val="0"/>
                <w:numId w:val="3"/>
              </w:numPr>
            </w:pPr>
            <w:r>
              <w:rPr>
                <w:rStyle w:val="row-content-rich-text"/>
              </w:rPr>
              <w:t xml:space="preserve">Oral and maxillofacial services</w:t>
            </w:r>
          </w:p>
          <w:p>
            <w:pPr>
              <w:pStyle w:val="ListParagraph"/>
              <w:numPr>
                <w:ilvl w:val="0"/>
                <w:numId w:val="3"/>
              </w:numPr>
            </w:pPr>
            <w:r>
              <w:rPr>
                <w:rStyle w:val="row-content-rich-text"/>
              </w:rPr>
              <w:t xml:space="preserve">Oral pathology service</w:t>
            </w:r>
          </w:p>
          <w:p>
            <w:pPr>
              <w:pStyle w:val="ListParagraph"/>
              <w:numPr>
                <w:ilvl w:val="0"/>
                <w:numId w:val="3"/>
              </w:numPr>
            </w:pPr>
            <w:r>
              <w:rPr>
                <w:rStyle w:val="row-content-rich-text"/>
              </w:rPr>
              <w:t xml:space="preserve">Oral surgery service</w:t>
            </w:r>
          </w:p>
          <w:p>
            <w:pPr>
              <w:pStyle w:val="ListParagraph"/>
              <w:numPr>
                <w:ilvl w:val="0"/>
                <w:numId w:val="3"/>
              </w:numPr>
            </w:pPr>
            <w:r>
              <w:rPr>
                <w:rStyle w:val="row-content-rich-text"/>
              </w:rPr>
              <w:t xml:space="preserve">Orthodontic service</w:t>
            </w:r>
          </w:p>
          <w:p>
            <w:pPr>
              <w:pStyle w:val="ListParagraph"/>
              <w:numPr>
                <w:ilvl w:val="0"/>
                <w:numId w:val="3"/>
              </w:numPr>
            </w:pPr>
            <w:r>
              <w:rPr>
                <w:rStyle w:val="row-content-rich-text"/>
              </w:rPr>
              <w:t xml:space="preserve">Pedodontic service</w:t>
            </w:r>
          </w:p>
          <w:p>
            <w:pPr>
              <w:pStyle w:val="ListParagraph"/>
              <w:numPr>
                <w:ilvl w:val="0"/>
                <w:numId w:val="3"/>
              </w:numPr>
            </w:pPr>
            <w:r>
              <w:rPr>
                <w:rStyle w:val="row-content-rich-text"/>
              </w:rPr>
              <w:t xml:space="preserve">Periodontic service </w:t>
            </w:r>
          </w:p>
          <w:p>
            <w:pPr>
              <w:spacing w:after="160"/>
            </w:pPr>
            <w:r>
              <w:rPr>
                <w:rStyle w:val="row-content-rich-text"/>
              </w:rPr>
              <w:t xml:space="preserve">See NOTE 2 under code 106.</w:t>
            </w:r>
          </w:p>
          <w:p>
            <w:pPr>
              <w:spacing w:after="160"/>
            </w:pPr>
            <w:r>
              <w:rPr>
                <w:rStyle w:val="row-content-rich-text"/>
              </w:rPr>
              <w:t xml:space="preserve">CODE 112    Clinical practices – other</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of independent health practitioners (other than physicians and dentists), such as chiropractors, optometrists, mental health specialists, physical, occupational, and speech therapists and audiologists organisations primarily engaged in providing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f0ed97a4882c4c22">
              <w:r>
                <w:rPr>
                  <w:rStyle w:val="Hyperlink"/>
                  <w:b/>
                </w:rPr>
                <w:t xml:space="preserve">ambulatory</w:t>
              </w:r>
            </w:hyperlink>
            <w:r>
              <w:rPr>
                <w:rStyle w:val="row-content-rich-text"/>
              </w:rPr>
              <w:t xml:space="preserve"> health care. These practitioners operate private or group practices in their own offices (e.g., centres, clinics) or in the facilities of others, such as hospitals or medical centres. Includes for example:</w:t>
            </w:r>
          </w:p>
          <w:p>
            <w:pPr>
              <w:pStyle w:val="ListParagraph"/>
              <w:numPr>
                <w:ilvl w:val="0"/>
                <w:numId w:val="4"/>
              </w:numPr>
            </w:pPr>
            <w:r>
              <w:rPr>
                <w:rStyle w:val="row-content-rich-text"/>
              </w:rPr>
              <w:t xml:space="preserve">Acupuncture service</w:t>
            </w:r>
          </w:p>
          <w:p>
            <w:pPr>
              <w:pStyle w:val="ListParagraph"/>
              <w:numPr>
                <w:ilvl w:val="0"/>
                <w:numId w:val="4"/>
              </w:numPr>
            </w:pPr>
            <w:r>
              <w:rPr>
                <w:rStyle w:val="row-content-rich-text"/>
              </w:rPr>
              <w:t xml:space="preserve">Aromatherapy service</w:t>
            </w:r>
          </w:p>
          <w:p>
            <w:pPr>
              <w:pStyle w:val="ListParagraph"/>
              <w:numPr>
                <w:ilvl w:val="0"/>
                <w:numId w:val="4"/>
              </w:numPr>
            </w:pPr>
            <w:r>
              <w:rPr>
                <w:rStyle w:val="row-content-rich-text"/>
              </w:rPr>
              <w:t xml:space="preserve">Audiology service</w:t>
            </w:r>
          </w:p>
          <w:p>
            <w:pPr>
              <w:pStyle w:val="ListParagraph"/>
              <w:numPr>
                <w:ilvl w:val="0"/>
                <w:numId w:val="4"/>
              </w:numPr>
            </w:pPr>
            <w:r>
              <w:rPr>
                <w:rStyle w:val="row-content-rich-text"/>
              </w:rPr>
              <w:t xml:space="preserve">Chiropractic service</w:t>
            </w:r>
          </w:p>
          <w:p>
            <w:pPr>
              <w:pStyle w:val="ListParagraph"/>
              <w:numPr>
                <w:ilvl w:val="0"/>
                <w:numId w:val="4"/>
              </w:numPr>
            </w:pPr>
            <w:r>
              <w:rPr>
                <w:rStyle w:val="row-content-rich-text"/>
              </w:rPr>
              <w:t xml:space="preserve">Clinical psychology service</w:t>
            </w:r>
          </w:p>
          <w:p>
            <w:pPr>
              <w:pStyle w:val="ListParagraph"/>
              <w:numPr>
                <w:ilvl w:val="0"/>
                <w:numId w:val="4"/>
              </w:numPr>
            </w:pPr>
            <w:r>
              <w:rPr>
                <w:rStyle w:val="row-content-rich-text"/>
              </w:rPr>
              <w:t xml:space="preserve">Dental hygiene service</w:t>
            </w:r>
          </w:p>
          <w:p>
            <w:pPr>
              <w:pStyle w:val="ListParagraph"/>
              <w:numPr>
                <w:ilvl w:val="0"/>
                <w:numId w:val="4"/>
              </w:numPr>
            </w:pPr>
            <w:r>
              <w:rPr>
                <w:rStyle w:val="row-content-rich-text"/>
              </w:rPr>
              <w:t xml:space="preserve">Dietician service</w:t>
            </w:r>
          </w:p>
          <w:p>
            <w:pPr>
              <w:pStyle w:val="ListParagraph"/>
              <w:numPr>
                <w:ilvl w:val="0"/>
                <w:numId w:val="4"/>
              </w:numPr>
            </w:pPr>
            <w:r>
              <w:rPr>
                <w:rStyle w:val="row-content-rich-text"/>
              </w:rPr>
              <w:t xml:space="preserve">Hearing aid dispensing</w:t>
            </w:r>
          </w:p>
          <w:p>
            <w:pPr>
              <w:pStyle w:val="ListParagraph"/>
              <w:numPr>
                <w:ilvl w:val="0"/>
                <w:numId w:val="4"/>
              </w:numPr>
            </w:pPr>
            <w:r>
              <w:rPr>
                <w:rStyle w:val="row-content-rich-text"/>
              </w:rPr>
              <w:t xml:space="preserve">Homoeopathic service</w:t>
            </w:r>
          </w:p>
          <w:p>
            <w:pPr>
              <w:pStyle w:val="ListParagraph"/>
              <w:numPr>
                <w:ilvl w:val="0"/>
                <w:numId w:val="4"/>
              </w:numPr>
            </w:pPr>
            <w:r>
              <w:rPr>
                <w:rStyle w:val="row-content-rich-text"/>
              </w:rPr>
              <w:t xml:space="preserve">Midwifery service</w:t>
            </w:r>
          </w:p>
          <w:p>
            <w:pPr>
              <w:pStyle w:val="ListParagraph"/>
              <w:numPr>
                <w:ilvl w:val="0"/>
                <w:numId w:val="4"/>
              </w:numPr>
            </w:pPr>
            <w:r>
              <w:rPr>
                <w:rStyle w:val="row-content-rich-text"/>
              </w:rPr>
              <w:t xml:space="preserve">Naturopathic service</w:t>
            </w:r>
          </w:p>
          <w:p>
            <w:pPr>
              <w:pStyle w:val="ListParagraph"/>
              <w:numPr>
                <w:ilvl w:val="0"/>
                <w:numId w:val="4"/>
              </w:numPr>
            </w:pPr>
            <w:r>
              <w:rPr>
                <w:rStyle w:val="row-content-rich-text"/>
              </w:rPr>
              <w:t xml:space="preserve">Nursing service</w:t>
            </w:r>
          </w:p>
          <w:p>
            <w:pPr>
              <w:pStyle w:val="ListParagraph"/>
              <w:numPr>
                <w:ilvl w:val="0"/>
                <w:numId w:val="4"/>
              </w:numPr>
            </w:pPr>
            <w:r>
              <w:rPr>
                <w:rStyle w:val="row-content-rich-text"/>
              </w:rPr>
              <w:t xml:space="preserve">Occupational therapy service</w:t>
            </w:r>
          </w:p>
          <w:p>
            <w:pPr>
              <w:pStyle w:val="ListParagraph"/>
              <w:numPr>
                <w:ilvl w:val="0"/>
                <w:numId w:val="4"/>
              </w:numPr>
            </w:pPr>
            <w:r>
              <w:rPr>
                <w:rStyle w:val="row-content-rich-text"/>
              </w:rPr>
              <w:t xml:space="preserve">Optometrist</w:t>
            </w:r>
          </w:p>
          <w:p>
            <w:pPr>
              <w:pStyle w:val="ListParagraph"/>
              <w:numPr>
                <w:ilvl w:val="0"/>
                <w:numId w:val="4"/>
              </w:numPr>
            </w:pPr>
            <w:r>
              <w:rPr>
                <w:rStyle w:val="row-content-rich-text"/>
              </w:rPr>
              <w:t xml:space="preserve">Osteopathic service</w:t>
            </w:r>
          </w:p>
          <w:p>
            <w:pPr>
              <w:pStyle w:val="ListParagraph"/>
              <w:numPr>
                <w:ilvl w:val="0"/>
                <w:numId w:val="4"/>
              </w:numPr>
            </w:pPr>
            <w:r>
              <w:rPr>
                <w:rStyle w:val="row-content-rich-text"/>
              </w:rPr>
              <w:t xml:space="preserve">Podiatry service</w:t>
            </w:r>
          </w:p>
          <w:p>
            <w:pPr>
              <w:pStyle w:val="ListParagraph"/>
              <w:numPr>
                <w:ilvl w:val="0"/>
                <w:numId w:val="4"/>
              </w:numPr>
            </w:pPr>
            <w:r>
              <w:rPr>
                <w:rStyle w:val="row-content-rich-text"/>
              </w:rPr>
              <w:t xml:space="preserve">Speech pathology service</w:t>
            </w:r>
          </w:p>
          <w:p>
            <w:pPr>
              <w:pStyle w:val="ListParagraph"/>
              <w:numPr>
                <w:ilvl w:val="0"/>
                <w:numId w:val="4"/>
              </w:numPr>
            </w:pPr>
            <w:r>
              <w:rPr>
                <w:rStyle w:val="row-content-rich-text"/>
              </w:rPr>
              <w:t xml:space="preserve">Therapeutic massage service</w:t>
            </w:r>
          </w:p>
          <w:p>
            <w:pPr>
              <w:spacing w:after="160"/>
            </w:pPr>
            <w:r>
              <w:rPr>
                <w:rStyle w:val="row-content-rich-text"/>
              </w:rPr>
              <w:t xml:space="preserve">See NOTE 2 under code 106.</w:t>
            </w:r>
          </w:p>
          <w:p>
            <w:pPr>
              <w:spacing w:after="160"/>
            </w:pPr>
            <w:r>
              <w:rPr>
                <w:rStyle w:val="row-content-rich-text"/>
              </w:rPr>
              <w:t xml:space="preserve">CODE 113    Community health facility – substance abuse</w:t>
            </w:r>
          </w:p>
          <w:p>
            <w:pPr>
              <w:spacing w:after="160"/>
            </w:pPr>
            <w:r>
              <w:rPr>
                <w:rStyle w:val="row-content-rich-text"/>
              </w:rPr>
              <w:t xml:space="preserve">Organisations with health staff primarily engaged in providing ambulatory services related to the diagnosis and treatment of alcohol and other substance abuse. These are community-based organisations that treat patients who do not require admitted patient treatment. They may provide counselling staff and information regarding a wide range of substance abuse issues and/or refer patients to more extensive treatment programmes, if necessary. Includes for example:</w:t>
            </w:r>
          </w:p>
          <w:p>
            <w:pPr>
              <w:pStyle w:val="ListParagraph"/>
              <w:numPr>
                <w:ilvl w:val="0"/>
                <w:numId w:val="5"/>
              </w:numPr>
            </w:pPr>
            <w:r>
              <w:rPr>
                <w:rStyle w:val="row-content-rich-text"/>
              </w:rPr>
              <w:t xml:space="preserve">Community based alcoholism treatment centres and clinics (other than hospitals or residential care facilities);</w:t>
            </w:r>
          </w:p>
          <w:p>
            <w:pPr>
              <w:pStyle w:val="ListParagraph"/>
              <w:numPr>
                <w:ilvl w:val="0"/>
                <w:numId w:val="5"/>
              </w:numPr>
            </w:pPr>
            <w:r>
              <w:rPr>
                <w:rStyle w:val="row-content-rich-text"/>
              </w:rPr>
              <w:t xml:space="preserve">Community based detoxification centre and clinics (other than hospitals or residential care facilities);</w:t>
            </w:r>
          </w:p>
          <w:p>
            <w:pPr>
              <w:pStyle w:val="ListParagraph"/>
              <w:numPr>
                <w:ilvl w:val="0"/>
                <w:numId w:val="5"/>
              </w:numPr>
            </w:pPr>
            <w:r>
              <w:rPr>
                <w:rStyle w:val="row-content-rich-text"/>
              </w:rPr>
              <w:t xml:space="preserve">Community based drug addiction treatment centres and clinics (other than hospitals or residential care facilities);</w:t>
            </w:r>
          </w:p>
          <w:p>
            <w:pPr>
              <w:pStyle w:val="ListParagraph"/>
              <w:numPr>
                <w:ilvl w:val="0"/>
                <w:numId w:val="5"/>
              </w:numPr>
            </w:pPr>
            <w:r>
              <w:rPr>
                <w:rStyle w:val="row-content-rich-text"/>
              </w:rPr>
              <w:t xml:space="preserve">Community based substance abuse treatment centres and clinics (other than hospitals or residential care facilities). </w:t>
            </w:r>
          </w:p>
          <w:p>
            <w:pPr>
              <w:spacing w:after="160"/>
            </w:pPr>
            <w:r>
              <w:rPr>
                <w:rStyle w:val="row-content-rich-text"/>
              </w:rPr>
              <w:t xml:space="preserve">CODE 114    Community health facility – mental</w:t>
            </w:r>
          </w:p>
          <w:p>
            <w:pPr>
              <w:spacing w:after="160"/>
            </w:pPr>
            <w:r>
              <w:rPr>
                <w:rStyle w:val="row-content-rich-text"/>
              </w:rPr>
              <w:t xml:space="preserve">An organisation comprised of one or more specialised mental health services or facilities with health staff primarily engaged in providing ambulatory services related to the diagnosis and treatment of mental health disorders. These specialised mental health services generally treat patients who do not require admitted patient treatment. However, these services do include consultation/liaison services provided to admitted patients by community mental health services. They may provide counselling staff and information regarding a wide range of mental health issues and/or refer patients to more extensive treatment programmes, if necessary. They may also provide treatment both on and off site, for example through mobile units. Includes only government-funded specialised mental health services, such as community mental health centres and clinics.</w:t>
            </w:r>
          </w:p>
          <w:p>
            <w:pPr>
              <w:spacing w:after="160"/>
            </w:pPr>
            <w:r>
              <w:rPr>
                <w:rStyle w:val="row-content-rich-text"/>
              </w:rPr>
              <w:t xml:space="preserve">Includes expenditure on government-managed community specialised mental health services, plus the cost of the grants to non-government organisations that provide community specialised mental health services, not the total expenditure by these non-government organisations.</w:t>
            </w:r>
          </w:p>
          <w:p>
            <w:pPr>
              <w:spacing w:after="160"/>
            </w:pPr>
            <w:r>
              <w:rPr>
                <w:rStyle w:val="row-content-rich-text"/>
              </w:rPr>
              <w:t xml:space="preserve">Excludes mental health clinics in hospitals and residential mental health care facilities.</w:t>
            </w:r>
          </w:p>
          <w:p>
            <w:pPr>
              <w:spacing w:after="160"/>
            </w:pPr>
            <w:r>
              <w:rPr>
                <w:rStyle w:val="row-content-rich-text"/>
              </w:rPr>
              <w:t xml:space="preserve">CODE 115    Community health facility – other</w:t>
            </w:r>
          </w:p>
          <w:p>
            <w:pPr>
              <w:spacing w:after="160"/>
            </w:pPr>
            <w:r>
              <w:rPr>
                <w:rStyle w:val="row-content-rich-text"/>
              </w:rPr>
              <w:t xml:space="preserve">Organisations with health staff primarily engaged in providing general or specialised ambulatory care. Centres or clinics of health practitioners with the same degree or with different degrees from more than one speciality practising within the same establishment i.e., physician and dentist) are included in this item. Includes only government-funded community health facilities such as:</w:t>
            </w:r>
          </w:p>
          <w:p>
            <w:pPr>
              <w:pStyle w:val="ListParagraph"/>
              <w:numPr>
                <w:ilvl w:val="0"/>
                <w:numId w:val="6"/>
              </w:numPr>
            </w:pPr>
            <w:r>
              <w:rPr>
                <w:rStyle w:val="row-content-rich-text"/>
              </w:rPr>
              <w:t xml:space="preserve">Community centres and clinics;</w:t>
            </w:r>
          </w:p>
          <w:p>
            <w:pPr>
              <w:pStyle w:val="ListParagraph"/>
              <w:numPr>
                <w:ilvl w:val="0"/>
                <w:numId w:val="6"/>
              </w:numPr>
            </w:pPr>
            <w:r>
              <w:rPr>
                <w:rStyle w:val="row-content-rich-text"/>
              </w:rPr>
              <w:t xml:space="preserve">General practitioner plus centres;</w:t>
            </w:r>
          </w:p>
          <w:p>
            <w:pPr>
              <w:pStyle w:val="ListParagraph"/>
              <w:numPr>
                <w:ilvl w:val="0"/>
                <w:numId w:val="6"/>
              </w:numPr>
            </w:pPr>
            <w:r>
              <w:rPr>
                <w:rStyle w:val="row-content-rich-text"/>
              </w:rPr>
              <w:t xml:space="preserve">Multi-speciality community clinics.</w:t>
            </w:r>
          </w:p>
          <w:p>
            <w:pPr>
              <w:spacing w:after="160"/>
            </w:pPr>
            <w:r>
              <w:rPr>
                <w:rStyle w:val="row-content-rich-text"/>
              </w:rPr>
              <w:t xml:space="preserve">Excludes clinical practices that provide exclusively medical services or exclusively health services, ambulatory mental health and substance abuse centres, and free-standing ambulatory surgical centres (reported under codes 108 to 114) and kidney dialysis centres and clinics (reported under codes 101 to 103 if part of a hospital or code 109 if they are free-standing ambulatory centres).</w:t>
            </w:r>
          </w:p>
          <w:p>
            <w:pPr>
              <w:spacing w:after="160"/>
            </w:pPr>
            <w:r>
              <w:rPr>
                <w:rStyle w:val="row-content-rich-text"/>
              </w:rPr>
              <w:t xml:space="preserve">CODE 116    Blood and organ bank</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collecting, storing and distributing blood and blood products and storing and distributing body organs.</w:t>
            </w:r>
          </w:p>
          <w:p>
            <w:pPr>
              <w:spacing w:after="160"/>
            </w:pPr>
            <w:r>
              <w:rPr>
                <w:rStyle w:val="row-content-rich-text"/>
              </w:rPr>
              <w:t xml:space="preserve">CODE 117    Retail sale/supplier of medical goods – optical glasses and other vision products</w:t>
            </w:r>
          </w:p>
          <w:p>
            <w:pPr>
              <w:spacing w:after="160"/>
            </w:pPr>
            <w:r>
              <w:rPr>
                <w:rStyle w:val="row-content-rich-text"/>
                <w:b/>
              </w:rPr>
              <w:t xml:space="preserve">This item is not currently required to be reported by state and territory health authorities.</w:t>
            </w:r>
            <w:r>
              <w:br/>
            </w:r>
            <w:r>
              <w:rPr>
                <w:rStyle w:val="row-content-rich-text"/>
                <w:b/>
              </w:rPr>
              <w:t xml:space="preserve"> </w:t>
            </w:r>
            <w:r>
              <w:rPr>
                <w:rStyle w:val="row-content-rich-text"/>
              </w:rPr>
              <w:t xml:space="preserve">Organisations primarily engaged in the retail sale of optical glasses and other vision products to the general public for personal or household consumption or utilisation. This includes the fitting and repair provided in combination with sales of optical glasses and other vision products.</w:t>
            </w:r>
          </w:p>
          <w:p>
            <w:pPr>
              <w:spacing w:after="160"/>
            </w:pPr>
            <w:r>
              <w:rPr>
                <w:rStyle w:val="row-content-rich-text"/>
              </w:rPr>
              <w:t xml:space="preserve">Excludes organisations primarily engaged in providing optometric services.</w:t>
            </w:r>
          </w:p>
          <w:p>
            <w:pPr>
              <w:spacing w:after="160"/>
            </w:pPr>
            <w:r>
              <w:rPr>
                <w:rStyle w:val="row-content-rich-text"/>
              </w:rPr>
              <w:t xml:space="preserve">CODE 118    Retail sale/supplier of medical goods – hearing aids</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the sale of hearing aids to the general public for personal or household consumption or utilisation. This includes the fitting and repair provided in combination with the sale of hearing aids.</w:t>
            </w:r>
          </w:p>
          <w:p>
            <w:pPr>
              <w:spacing w:after="160"/>
            </w:pPr>
            <w:r>
              <w:rPr>
                <w:rStyle w:val="row-content-rich-text"/>
              </w:rPr>
              <w:t xml:space="preserve">Excludes organisations primarily engaged in hearing testing where that also includes a component of hearing aid dispensing and fitting.</w:t>
            </w:r>
          </w:p>
          <w:p>
            <w:pPr>
              <w:spacing w:after="160"/>
            </w:pPr>
            <w:r>
              <w:rPr>
                <w:rStyle w:val="row-content-rich-text"/>
              </w:rPr>
              <w:t xml:space="preserve">CODE 119    Retail sale/supplier of medical goods – dispensing community pharmacist</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the retail sale of pharmaceuticals to the general public for personal or household consumption or utilisation. Instances when the processing of medicine may be involved should be only incidental to selling. This includes both medicines with and without prescription.</w:t>
            </w:r>
          </w:p>
          <w:p>
            <w:pPr>
              <w:spacing w:after="160"/>
            </w:pPr>
            <w:r>
              <w:rPr>
                <w:rStyle w:val="row-content-rich-text"/>
              </w:rPr>
              <w:t xml:space="preserve">Excludes organisations listed under code 201.</w:t>
            </w:r>
          </w:p>
          <w:p>
            <w:pPr>
              <w:spacing w:after="160"/>
            </w:pPr>
            <w:r>
              <w:rPr>
                <w:rStyle w:val="row-content-rich-text"/>
              </w:rPr>
              <w:t xml:space="preserve">CODE 120    Retail sale/supplier of medical goods – other</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the sale of medical appliances other than optical goods and hearing aids to the general public with or without prescription for personal or household consumption or utilisation. Included are:</w:t>
            </w:r>
          </w:p>
          <w:p>
            <w:pPr>
              <w:pStyle w:val="ListParagraph"/>
              <w:numPr>
                <w:ilvl w:val="0"/>
                <w:numId w:val="7"/>
              </w:numPr>
            </w:pPr>
            <w:r>
              <w:rPr>
                <w:rStyle w:val="row-content-rich-text"/>
              </w:rPr>
              <w:t xml:space="preserve">Organisations primarily engaged in the manufacture of medical appliances but where the fitting and repair is usually done in combination with manufacture of medical appliances.</w:t>
            </w:r>
          </w:p>
          <w:p>
            <w:pPr>
              <w:pStyle w:val="ListParagraph"/>
              <w:numPr>
                <w:ilvl w:val="0"/>
                <w:numId w:val="7"/>
              </w:numPr>
            </w:pPr>
            <w:r>
              <w:rPr>
                <w:rStyle w:val="row-content-rich-text"/>
              </w:rPr>
              <w:t xml:space="preserve">Organisations engaged in the retail sale of other miscellaneous medical goods to the general public for personal or household consumption or utilisation (included are sales other than by shops, such as electronic shopping and mail-order houses).</w:t>
            </w:r>
            <w:r>
              <w:br/>
            </w:r>
            <w:r>
              <w:rPr>
                <w:rStyle w:val="row-content-rich-text"/>
              </w:rPr>
              <w:t xml:space="preserve">Illustrative examples</w:t>
            </w:r>
          </w:p>
          <w:p>
            <w:pPr>
              <w:pStyle w:val="ListParagraph"/>
              <w:numPr>
                <w:ilvl w:val="0"/>
                <w:numId w:val="7"/>
              </w:numPr>
            </w:pPr>
            <w:r>
              <w:rPr>
                <w:rStyle w:val="row-content-rich-text"/>
              </w:rPr>
              <w:t xml:space="preserve">sale of fluids (e.g. for home dialysis);</w:t>
            </w:r>
          </w:p>
          <w:p>
            <w:pPr>
              <w:pStyle w:val="ListParagraph"/>
              <w:numPr>
                <w:ilvl w:val="0"/>
                <w:numId w:val="7"/>
              </w:numPr>
            </w:pPr>
            <w:r>
              <w:rPr>
                <w:rStyle w:val="row-content-rich-text"/>
              </w:rPr>
              <w:t xml:space="preserve">all other miscellaneous health and personal care stores;</w:t>
            </w:r>
          </w:p>
          <w:p>
            <w:pPr>
              <w:pStyle w:val="ListParagraph"/>
              <w:numPr>
                <w:ilvl w:val="0"/>
                <w:numId w:val="7"/>
              </w:numPr>
            </w:pPr>
            <w:r>
              <w:rPr>
                <w:rStyle w:val="row-content-rich-text"/>
              </w:rPr>
              <w:t xml:space="preserve">all other sale of pharmaceuticals and medical goods;</w:t>
            </w:r>
          </w:p>
          <w:p>
            <w:pPr>
              <w:pStyle w:val="ListParagraph"/>
              <w:numPr>
                <w:ilvl w:val="0"/>
                <w:numId w:val="7"/>
              </w:numPr>
            </w:pPr>
            <w:r>
              <w:rPr>
                <w:rStyle w:val="row-content-rich-text"/>
              </w:rPr>
              <w:t xml:space="preserve">electronic shopping and mail-order houses specialised in medical goods. </w:t>
            </w:r>
          </w:p>
          <w:p>
            <w:pPr>
              <w:spacing w:after="160"/>
            </w:pPr>
            <w:r>
              <w:rPr>
                <w:rStyle w:val="row-content-rich-text"/>
              </w:rPr>
              <w:t xml:space="preserve">CODE 121    Provision and administration of public health program</w:t>
            </w:r>
          </w:p>
          <w:p>
            <w:pPr>
              <w:spacing w:after="160"/>
            </w:pPr>
            <w:r>
              <w:rPr>
                <w:rStyle w:val="row-content-rich-text"/>
              </w:rPr>
              <w:t xml:space="preserve">Organisations engaged in government or private administration and provision of public health programs such as health promotion, organised screening, immunisation and health protection programs.</w:t>
            </w:r>
          </w:p>
          <w:p>
            <w:pPr>
              <w:spacing w:after="160"/>
            </w:pPr>
            <w:r>
              <w:rPr>
                <w:rStyle w:val="row-content-rich-text"/>
              </w:rPr>
              <w:t xml:space="preserve">CODE 122    General health administration</w:t>
            </w:r>
          </w:p>
          <w:p>
            <w:pPr>
              <w:spacing w:after="160"/>
            </w:pPr>
            <w:r>
              <w:rPr>
                <w:rStyle w:val="row-content-rich-text"/>
              </w:rPr>
              <w:t xml:space="preserve">Organisations primarily engaged in the regulation of activities of agencies that provide health care, overall administration of health policy, and health insurance. This item comprises government administration (excluding social security) primarily engaged in the formulation and administration of government policy in health and in the setting and enforcement of standards for medical and paramedical personnel and for hospitals, clinics, etc., including the regulation and licensing of providers of health services. For example:</w:t>
            </w:r>
          </w:p>
          <w:p>
            <w:pPr>
              <w:pStyle w:val="ListParagraph"/>
              <w:numPr>
                <w:ilvl w:val="0"/>
                <w:numId w:val="8"/>
              </w:numPr>
            </w:pPr>
            <w:r>
              <w:rPr>
                <w:rStyle w:val="row-content-rich-text"/>
              </w:rPr>
              <w:t xml:space="preserve">Department of Health;</w:t>
            </w:r>
          </w:p>
          <w:p>
            <w:pPr>
              <w:pStyle w:val="ListParagraph"/>
              <w:numPr>
                <w:ilvl w:val="0"/>
                <w:numId w:val="8"/>
              </w:numPr>
            </w:pPr>
            <w:r>
              <w:rPr>
                <w:rStyle w:val="row-content-rich-text"/>
              </w:rPr>
              <w:t xml:space="preserve">Agencies for the regulation of safety in the workplace. </w:t>
            </w:r>
          </w:p>
          <w:p>
            <w:pPr>
              <w:spacing w:after="160"/>
            </w:pPr>
            <w:r>
              <w:rPr>
                <w:rStyle w:val="row-content-rich-text"/>
              </w:rPr>
              <w:t xml:space="preserve">Excludes organisations primarily engaged in the provision and administration of public health programs which is reported under code 121.</w:t>
            </w:r>
          </w:p>
          <w:p>
            <w:pPr>
              <w:spacing w:after="160"/>
            </w:pPr>
            <w:r>
              <w:rPr>
                <w:rStyle w:val="row-content-rich-text"/>
              </w:rPr>
              <w:t xml:space="preserve">CODE 123    Private health insurance provider</w:t>
            </w:r>
          </w:p>
          <w:p>
            <w:pPr>
              <w:spacing w:after="160"/>
            </w:pPr>
            <w:r>
              <w:rPr>
                <w:rStyle w:val="row-content-rich-text"/>
                <w:b/>
              </w:rPr>
              <w:t xml:space="preserve">This item is not currently required to be reported by state and territory health authorities.</w:t>
            </w:r>
          </w:p>
          <w:p>
            <w:pPr>
              <w:pStyle w:val="ListParagraph"/>
              <w:numPr>
                <w:ilvl w:val="0"/>
                <w:numId w:val="9"/>
              </w:numPr>
            </w:pPr>
            <w:r>
              <w:rPr>
                <w:rStyle w:val="row-content-rich-text"/>
              </w:rPr>
              <w:t xml:space="preserve">Organisations engaged in insurance of health (other than social security funds and other social insurance funds) that provide insurance cover for hospital, medical, dental, pharmaceutical or funeral expenses. This includes organisations primarily engaged in activities involved in or closely related to the management of private health insurance (activities of insurance agents, average and loss adjusters and actuaries. </w:t>
            </w:r>
          </w:p>
          <w:p>
            <w:pPr>
              <w:spacing w:after="160"/>
            </w:pPr>
            <w:r>
              <w:rPr>
                <w:rStyle w:val="row-content-rich-text"/>
              </w:rPr>
              <w:t xml:space="preserve">CODE 188    Main Health Care Service organisation - other</w:t>
            </w:r>
          </w:p>
          <w:p>
            <w:pPr>
              <w:spacing w:after="160"/>
            </w:pPr>
            <w:r>
              <w:rPr>
                <w:rStyle w:val="row-content-rich-text"/>
              </w:rPr>
              <w:t xml:space="preserve">Organisations mainly engaged in providing health care services that are not reported under codes 101 to 123. Includes health or health-related call centres or e-health sites such as Poisons Information Centre and centres that provide information on alcohol and other drugs, mental health or other health issues.</w:t>
            </w:r>
          </w:p>
          <w:p>
            <w:pPr>
              <w:spacing w:after="160"/>
            </w:pPr>
            <w:r>
              <w:rPr>
                <w:rStyle w:val="row-content-rich-text"/>
              </w:rPr>
              <w:t xml:space="preserve">CODE 198    Regional health service (not further defined)</w:t>
            </w:r>
          </w:p>
          <w:p>
            <w:pPr>
              <w:spacing w:after="160"/>
            </w:pPr>
            <w:r>
              <w:rPr>
                <w:rStyle w:val="row-content-rich-text"/>
              </w:rPr>
              <w:t xml:space="preserve">Organisations at an area health service or regional level could be a combination of categories 101 to 188 but which could not be further disaggregated.</w:t>
            </w:r>
          </w:p>
          <w:p>
            <w:pPr>
              <w:spacing w:after="160"/>
            </w:pPr>
            <w:r>
              <w:rPr>
                <w:rStyle w:val="row-content-rich-text"/>
              </w:rPr>
              <w:t xml:space="preserve">CODE 199    State/territory health authority (not further defined)</w:t>
            </w:r>
          </w:p>
          <w:p>
            <w:pPr>
              <w:spacing w:after="160"/>
            </w:pPr>
            <w:r>
              <w:rPr>
                <w:rStyle w:val="row-content-rich-text"/>
              </w:rPr>
              <w:t xml:space="preserve">Organisations at the state or territory health authority level that could be a combination of categories 101 to 188 but which could not be further disaggregated.</w:t>
            </w:r>
          </w:p>
          <w:p>
            <w:pPr>
              <w:spacing w:after="160"/>
            </w:pPr>
            <w:r>
              <w:rPr>
                <w:rStyle w:val="row-content-rich-text"/>
              </w:rPr>
              <w:t xml:space="preserve">Secondary/non-Health Care Service organisation</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CODE 201    Pharmaceutical industry</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wholesaling human pharmaceuticals, medicines, cosmetics, perfumes and toiletries. Also included are units mainly engaged in wholesaling veterinary drugs or medicines</w:t>
            </w:r>
          </w:p>
          <w:p>
            <w:pPr>
              <w:spacing w:after="160"/>
            </w:pPr>
            <w:r>
              <w:rPr>
                <w:rStyle w:val="row-content-rich-text"/>
              </w:rPr>
              <w:t xml:space="preserve">Excludes organisations listed under code 119.</w:t>
            </w:r>
            <w:r>
              <w:br/>
            </w:r>
            <w:r>
              <w:rPr>
                <w:rStyle w:val="row-content-rich-text"/>
              </w:rPr>
              <w:t xml:space="preserve">CODE 202   University</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providing undergraduate or postgraduate teaching but which also undertake health research activities. Also includes organisations primarily engaged in undertaking research in the agricultural, biological, physical or social sciences. Units may undertake the research for themselves or others.</w:t>
            </w:r>
          </w:p>
          <w:p>
            <w:pPr>
              <w:spacing w:after="160"/>
            </w:pPr>
            <w:r>
              <w:rPr>
                <w:rStyle w:val="row-content-rich-text"/>
              </w:rPr>
              <w:t xml:space="preserve">Includes:</w:t>
            </w:r>
          </w:p>
          <w:p>
            <w:pPr>
              <w:pStyle w:val="ListParagraph"/>
              <w:numPr>
                <w:ilvl w:val="0"/>
                <w:numId w:val="10"/>
              </w:numPr>
            </w:pPr>
            <w:r>
              <w:rPr>
                <w:rStyle w:val="row-content-rich-text"/>
              </w:rPr>
              <w:t xml:space="preserve">Postgraduate school, university operation</w:t>
            </w:r>
          </w:p>
          <w:p>
            <w:pPr>
              <w:pStyle w:val="ListParagraph"/>
              <w:numPr>
                <w:ilvl w:val="0"/>
                <w:numId w:val="10"/>
              </w:numPr>
            </w:pPr>
            <w:r>
              <w:rPr>
                <w:rStyle w:val="row-content-rich-text"/>
              </w:rPr>
              <w:t xml:space="preserve">Research school, university operation</w:t>
            </w:r>
          </w:p>
          <w:p>
            <w:pPr>
              <w:pStyle w:val="ListParagraph"/>
              <w:numPr>
                <w:ilvl w:val="0"/>
                <w:numId w:val="10"/>
              </w:numPr>
            </w:pPr>
            <w:r>
              <w:rPr>
                <w:rStyle w:val="row-content-rich-text"/>
              </w:rPr>
              <w:t xml:space="preserve">Specialist institute or college</w:t>
            </w:r>
          </w:p>
          <w:p>
            <w:pPr>
              <w:pStyle w:val="ListParagraph"/>
              <w:numPr>
                <w:ilvl w:val="0"/>
                <w:numId w:val="10"/>
              </w:numPr>
            </w:pPr>
            <w:r>
              <w:rPr>
                <w:rStyle w:val="row-content-rich-text"/>
              </w:rPr>
              <w:t xml:space="preserve">Undergraduate school, university operation</w:t>
            </w:r>
          </w:p>
          <w:p>
            <w:pPr>
              <w:pStyle w:val="ListParagraph"/>
              <w:numPr>
                <w:ilvl w:val="0"/>
                <w:numId w:val="10"/>
              </w:numPr>
            </w:pPr>
            <w:r>
              <w:rPr>
                <w:rStyle w:val="row-content-rich-text"/>
              </w:rPr>
              <w:t xml:space="preserve">University operation </w:t>
            </w:r>
          </w:p>
          <w:p>
            <w:pPr>
              <w:spacing w:after="160"/>
            </w:pPr>
            <w:r>
              <w:rPr>
                <w:rStyle w:val="row-content-rich-text"/>
              </w:rPr>
              <w:t xml:space="preserve">For reporting purposes includes only the health or health related research component or other health services component of these organisations' activities.</w:t>
            </w:r>
          </w:p>
          <w:p>
            <w:pPr>
              <w:spacing w:after="160"/>
            </w:pPr>
            <w:r>
              <w:rPr>
                <w:rStyle w:val="row-content-rich-text"/>
              </w:rPr>
              <w:t xml:space="preserve">CODE 203    Non-health related insurance</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Units mainly engaged in providing general insurance cover (except life and health insurance).</w:t>
            </w:r>
          </w:p>
          <w:p>
            <w:pPr>
              <w:spacing w:after="160"/>
            </w:pPr>
            <w:r>
              <w:rPr>
                <w:rStyle w:val="row-content-rich-text"/>
              </w:rPr>
              <w:t xml:space="preserve">Includes:</w:t>
            </w:r>
          </w:p>
          <w:p>
            <w:pPr>
              <w:pStyle w:val="ListParagraph"/>
              <w:numPr>
                <w:ilvl w:val="0"/>
                <w:numId w:val="11"/>
              </w:numPr>
            </w:pPr>
            <w:r>
              <w:rPr>
                <w:rStyle w:val="row-content-rich-text"/>
              </w:rPr>
              <w:t xml:space="preserve">Motor vehicle third party insurance provision</w:t>
            </w:r>
          </w:p>
          <w:p>
            <w:pPr>
              <w:pStyle w:val="ListParagraph"/>
              <w:numPr>
                <w:ilvl w:val="0"/>
                <w:numId w:val="11"/>
              </w:numPr>
            </w:pPr>
            <w:r>
              <w:rPr>
                <w:rStyle w:val="row-content-rich-text"/>
              </w:rPr>
              <w:t xml:space="preserve">Worker’s compensation insurance provision </w:t>
            </w:r>
          </w:p>
          <w:p>
            <w:pPr>
              <w:spacing w:after="160"/>
            </w:pPr>
            <w:r>
              <w:rPr>
                <w:rStyle w:val="row-content-rich-text"/>
              </w:rPr>
              <w:t xml:space="preserve">CODE 204    Residential aged care facility</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An organisation comprised of one or more government-funded facilities primarily engaged in providing residential care to aged persons and in receipt of funding under the Aged Care Act and subject to Commonwealth reporting requirements (i.e. report to the System for the payment of Aged Residential Care (SPARC) collection.</w:t>
            </w:r>
          </w:p>
          <w:p>
            <w:pPr>
              <w:spacing w:after="160"/>
            </w:pPr>
            <w:r>
              <w:rPr>
                <w:rStyle w:val="row-content-rich-text"/>
              </w:rPr>
              <w:t xml:space="preserve">Excludes facilities primarily providing services to persons requiring mental health diagnosis and treatment. Also excludes residential care facilities that report under the Commonwealth, State and Territory Disability Agreement where the primary purpose is care for persons with a disability.</w:t>
            </w:r>
          </w:p>
          <w:p>
            <w:pPr>
              <w:spacing w:after="160"/>
            </w:pPr>
            <w:r>
              <w:rPr>
                <w:rStyle w:val="row-content-rich-text"/>
              </w:rPr>
              <w:t xml:space="preserve"> </w:t>
            </w:r>
          </w:p>
          <w:p>
            <w:pPr>
              <w:spacing w:after="160"/>
            </w:pPr>
            <w:r>
              <w:rPr>
                <w:rStyle w:val="row-content-rich-text"/>
              </w:rPr>
              <w:t xml:space="preserve">CODE 288    Secondary/non-Health Care Service organisation – other</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This item comprises organisations that are not reported under codes 201 to 203 which provide health care as secondary providers or other providers. Included are providers of occupational health care and home care provided by private households.</w:t>
            </w:r>
          </w:p>
          <w:p>
            <w:pPr>
              <w:spacing w:after="160"/>
            </w:pPr>
            <w:r>
              <w:rPr>
                <w:rStyle w:val="row-content-rich-text"/>
              </w:rPr>
              <w:t xml:space="preserve">Includes:</w:t>
            </w:r>
          </w:p>
          <w:p>
            <w:pPr>
              <w:spacing w:after="160"/>
            </w:pPr>
            <w:r>
              <w:rPr>
                <w:rStyle w:val="row-content-rich-text"/>
              </w:rPr>
              <w:t xml:space="preserve">Occupational health care services not provided in separate health care organisations (all industries);</w:t>
            </w:r>
          </w:p>
          <w:p>
            <w:pPr>
              <w:pStyle w:val="ListParagraph"/>
              <w:numPr>
                <w:ilvl w:val="0"/>
                <w:numId w:val="12"/>
              </w:numPr>
            </w:pPr>
            <w:r>
              <w:rPr>
                <w:rStyle w:val="row-content-rich-text"/>
              </w:rPr>
              <w:t xml:space="preserve">Military health services not provided in separate health care organisations</w:t>
            </w:r>
          </w:p>
          <w:p>
            <w:pPr>
              <w:pStyle w:val="ListParagraph"/>
              <w:numPr>
                <w:ilvl w:val="0"/>
                <w:numId w:val="12"/>
              </w:numPr>
            </w:pPr>
            <w:r>
              <w:rPr>
                <w:rStyle w:val="row-content-rich-text"/>
              </w:rPr>
              <w:t xml:space="preserve">Prison health services not provided in separate health care organisations</w:t>
            </w:r>
          </w:p>
          <w:p>
            <w:pPr>
              <w:pStyle w:val="ListParagraph"/>
              <w:numPr>
                <w:ilvl w:val="0"/>
                <w:numId w:val="12"/>
              </w:numPr>
            </w:pPr>
            <w:r>
              <w:rPr>
                <w:rStyle w:val="row-content-rich-text"/>
              </w:rPr>
              <w:t xml:space="preserve">School health services</w:t>
            </w:r>
          </w:p>
          <w:p>
            <w:pPr>
              <w:pStyle w:val="ListParagraph"/>
              <w:numPr>
                <w:ilvl w:val="0"/>
                <w:numId w:val="12"/>
              </w:numPr>
            </w:pPr>
            <w:r>
              <w:rPr>
                <w:rStyle w:val="row-content-rich-text"/>
              </w:rPr>
              <w:t xml:space="preserve">Other providers n.e.c.</w:t>
            </w:r>
          </w:p>
          <w:p>
            <w:pPr>
              <w:spacing w:after="160"/>
            </w:pPr>
            <w:r>
              <w:rPr>
                <w:rStyle w:val="row-content-rich-text"/>
              </w:rPr>
              <w:t xml:space="preserve">Other providers of services which support the health care industry such as laundry or catering services.</w:t>
            </w:r>
          </w:p>
          <w:p>
            <w:pPr/>
            <w:r>
              <w:rPr>
                <w:rStyle w:val="row-content-rich-text"/>
              </w:rPr>
              <w:t xml:space="preserve">Other providers of services unrelated to the health care industry such as the building or automotive industry.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Organisation for Economic Cooperation and Development 2000. A System of Health Accounts. Version 1.0. Paris: OECD.</w:t>
            </w:r>
          </w:p>
          <w:p>
            <w:pPr>
              <w:spacing w:after="160"/>
            </w:pPr>
            <w:r>
              <w:rPr>
                <w:rStyle w:val="row-content-rich-text"/>
              </w:rPr>
              <w:t xml:space="preserve">Australian Bureau of Statistics 2006. Australian and New Zealand Standard Industry Classification. Cat. no. 1292.0. Canberra: ABS.</w:t>
            </w:r>
          </w:p>
          <w:p>
            <w:pPr/>
            <w:r>
              <w:rPr>
                <w:rStyle w:val="row-content-rich-text"/>
              </w:rPr>
              <w:t xml:space="preserve">RACGP 6 September 2005 &lt;</w:t>
            </w:r>
            <w:hyperlink w:history="true" r:id="R9a6d9933a0d94f9b">
              <w:r>
                <w:rPr>
                  <w:rStyle w:val="Hyperlink"/>
                </w:rPr>
                <w:t xml:space="preserve">www.racgp.org.au/whatisgeneralpractice</w:t>
              </w:r>
            </w:hyperlink>
            <w:r>
              <w:rPr>
                <w:rStyle w:val="row-content-rich-text"/>
              </w:rPr>
              <w:t xml:space="preserve">&gt;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6bb949e7ae467f">
              <w:r>
                <w:rPr>
                  <w:rStyle w:val="Hyperlink"/>
                </w:rPr>
                <w:t xml:space="preserve">Health industry relevant organisation—main activity type, code NNN</w:t>
              </w:r>
            </w:hyperlink>
          </w:p>
          <w:p>
            <w:pPr>
              <w:spacing w:before="0" w:after="0"/>
            </w:pPr>
            <w:r>
              <w:rPr>
                <w:rStyle w:val="row-content"/>
                <w:color w:val="244061"/>
              </w:rPr>
              <w:t xml:space="preserve">       </w:t>
            </w:r>
            <w:hyperlink w:history="true" r:id="R1e3374aa78ed46fb">
              <w:r>
                <w:rPr>
                  <w:rStyle w:val="Hyperlink"/>
                  <w:color w:val="244061"/>
                </w:rPr>
                <w:t xml:space="preserve">Health</w:t>
              </w:r>
            </w:hyperlink>
            <w:r>
              <w:rPr>
                <w:rStyle w:val="row-content"/>
                <w:color w:val="244061"/>
              </w:rPr>
              <w:t xml:space="preserve">, Superseded 01/04/2009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9ac23d38734bf1">
              <w:r>
                <w:rPr>
                  <w:rStyle w:val="Hyperlink"/>
                </w:rPr>
                <w:t xml:space="preserve">Government health expenditure organisation expenditure capital consumption data element cluster</w:t>
              </w:r>
            </w:hyperlink>
          </w:p>
          <w:p>
            <w:pPr>
              <w:spacing w:before="0" w:after="0"/>
            </w:pPr>
            <w:r>
              <w:rPr>
                <w:rStyle w:val="row-content"/>
                <w:color w:val="244061"/>
              </w:rPr>
              <w:t xml:space="preserve">       </w:t>
            </w:r>
            <w:hyperlink w:history="true" r:id="Re55e78b850df4e8f">
              <w:r>
                <w:rPr>
                  <w:rStyle w:val="Hyperlink"/>
                  <w:color w:val="244061"/>
                </w:rPr>
                <w:t xml:space="preserve">Health</w:t>
              </w:r>
            </w:hyperlink>
            <w:r>
              <w:rPr>
                <w:rStyle w:val="row-content"/>
                <w:color w:val="244061"/>
              </w:rPr>
              <w:t xml:space="preserve">, Superseded 04/12/2013</w:t>
            </w:r>
          </w:p>
          <w:p>
            <w:r>
              <w:br/>
            </w:r>
            <w:hyperlink w:history="true" r:id="Rba0731afe3024fd2">
              <w:r>
                <w:rPr>
                  <w:rStyle w:val="Hyperlink"/>
                </w:rPr>
                <w:t xml:space="preserve">Government health expenditure organisation expenditure capital consumption data element cluster</w:t>
              </w:r>
            </w:hyperlink>
          </w:p>
          <w:p>
            <w:pPr>
              <w:spacing w:before="0" w:after="0"/>
            </w:pPr>
            <w:r>
              <w:rPr>
                <w:rStyle w:val="row-content"/>
                <w:color w:val="244061"/>
              </w:rPr>
              <w:t xml:space="preserve">       </w:t>
            </w:r>
            <w:hyperlink w:history="true" r:id="R2157e2e30fce4ad8">
              <w:r>
                <w:rPr>
                  <w:rStyle w:val="Hyperlink"/>
                  <w:color w:val="244061"/>
                </w:rPr>
                <w:t xml:space="preserve">Health</w:t>
              </w:r>
            </w:hyperlink>
            <w:r>
              <w:rPr>
                <w:rStyle w:val="row-content"/>
                <w:color w:val="244061"/>
              </w:rPr>
              <w:t xml:space="preserve">, Standard 04/04/2013</w:t>
            </w:r>
          </w:p>
          <w:p>
            <w:r>
              <w:br/>
            </w:r>
            <w:hyperlink w:history="true" r:id="R74316a8ed14348d8">
              <w:r>
                <w:rPr>
                  <w:rStyle w:val="Hyperlink"/>
                </w:rPr>
                <w:t xml:space="preserve">Government health expenditure organisation expenditure data element cluster</w:t>
              </w:r>
            </w:hyperlink>
          </w:p>
          <w:p>
            <w:pPr>
              <w:spacing w:before="0" w:after="0"/>
            </w:pPr>
            <w:r>
              <w:rPr>
                <w:rStyle w:val="row-content"/>
                <w:color w:val="244061"/>
              </w:rPr>
              <w:t xml:space="preserve">       </w:t>
            </w:r>
            <w:hyperlink w:history="true" r:id="Rec891fee8dce454a">
              <w:r>
                <w:rPr>
                  <w:rStyle w:val="Hyperlink"/>
                  <w:color w:val="244061"/>
                </w:rPr>
                <w:t xml:space="preserve">Health</w:t>
              </w:r>
            </w:hyperlink>
            <w:r>
              <w:rPr>
                <w:rStyle w:val="row-content"/>
                <w:color w:val="244061"/>
              </w:rPr>
              <w:t xml:space="preserve">, Superseded 04/12/2013</w:t>
            </w:r>
          </w:p>
          <w:p>
            <w:r>
              <w:br/>
            </w:r>
            <w:hyperlink w:history="true" r:id="R1bfb9d56df244f64">
              <w:r>
                <w:rPr>
                  <w:rStyle w:val="Hyperlink"/>
                </w:rPr>
                <w:t xml:space="preserve">Government health expenditure organisation expenditure data element cluster</w:t>
              </w:r>
            </w:hyperlink>
          </w:p>
          <w:p>
            <w:pPr>
              <w:spacing w:before="0" w:after="0"/>
            </w:pPr>
            <w:r>
              <w:rPr>
                <w:rStyle w:val="row-content"/>
                <w:color w:val="244061"/>
              </w:rPr>
              <w:t xml:space="preserve">       </w:t>
            </w:r>
            <w:hyperlink w:history="true" r:id="Rb984793c1bb54a0a">
              <w:r>
                <w:rPr>
                  <w:rStyle w:val="Hyperlink"/>
                  <w:color w:val="244061"/>
                </w:rPr>
                <w:t xml:space="preserve">Health</w:t>
              </w:r>
            </w:hyperlink>
            <w:r>
              <w:rPr>
                <w:rStyle w:val="row-content"/>
                <w:color w:val="244061"/>
              </w:rPr>
              <w:t xml:space="preserve">, Standard 04/12/2013</w:t>
            </w:r>
          </w:p>
          <w:p>
            <w:r>
              <w:br/>
            </w:r>
            <w:hyperlink w:history="true" r:id="Rf290af3dd7d244df">
              <w:r>
                <w:rPr>
                  <w:rStyle w:val="Hyperlink"/>
                </w:rPr>
                <w:t xml:space="preserve">Government health expenditure organisation expenditure employee related data element cluster</w:t>
              </w:r>
            </w:hyperlink>
          </w:p>
          <w:p>
            <w:pPr>
              <w:spacing w:before="0" w:after="0"/>
            </w:pPr>
            <w:r>
              <w:rPr>
                <w:rStyle w:val="row-content"/>
                <w:color w:val="244061"/>
              </w:rPr>
              <w:t xml:space="preserve">       </w:t>
            </w:r>
            <w:hyperlink w:history="true" r:id="R370a14bdbcb54bc6">
              <w:r>
                <w:rPr>
                  <w:rStyle w:val="Hyperlink"/>
                  <w:color w:val="244061"/>
                </w:rPr>
                <w:t xml:space="preserve">Health</w:t>
              </w:r>
            </w:hyperlink>
            <w:r>
              <w:rPr>
                <w:rStyle w:val="row-content"/>
                <w:color w:val="244061"/>
              </w:rPr>
              <w:t xml:space="preserve">, Superseded 04/12/2013</w:t>
            </w:r>
          </w:p>
          <w:p>
            <w:r>
              <w:br/>
            </w:r>
            <w:hyperlink w:history="true" r:id="R21d0eb7fea3e44b0">
              <w:r>
                <w:rPr>
                  <w:rStyle w:val="Hyperlink"/>
                </w:rPr>
                <w:t xml:space="preserve">Government health expenditure organisation expenditure employee related data element cluster</w:t>
              </w:r>
            </w:hyperlink>
          </w:p>
          <w:p>
            <w:pPr>
              <w:spacing w:before="0" w:after="0"/>
            </w:pPr>
            <w:r>
              <w:rPr>
                <w:rStyle w:val="row-content"/>
                <w:color w:val="244061"/>
              </w:rPr>
              <w:t xml:space="preserve">       </w:t>
            </w:r>
            <w:hyperlink w:history="true" r:id="R7b637adcd6794b7a">
              <w:r>
                <w:rPr>
                  <w:rStyle w:val="Hyperlink"/>
                  <w:color w:val="244061"/>
                </w:rPr>
                <w:t xml:space="preserve">Health</w:t>
              </w:r>
            </w:hyperlink>
            <w:r>
              <w:rPr>
                <w:rStyle w:val="row-content"/>
                <w:color w:val="244061"/>
              </w:rPr>
              <w:t xml:space="preserve">, Standard 04/12/2013</w:t>
            </w:r>
          </w:p>
          <w:p>
            <w:r>
              <w:br/>
            </w:r>
            <w:hyperlink w:history="true" r:id="R5018eeb5736140dc">
              <w:r>
                <w:rPr>
                  <w:rStyle w:val="Hyperlink"/>
                </w:rPr>
                <w:t xml:space="preserve">Government health expenditure organisation expenditure purchase of goods and services data element cluster</w:t>
              </w:r>
            </w:hyperlink>
          </w:p>
          <w:p>
            <w:pPr>
              <w:spacing w:before="0" w:after="0"/>
            </w:pPr>
            <w:r>
              <w:rPr>
                <w:rStyle w:val="row-content"/>
                <w:color w:val="244061"/>
              </w:rPr>
              <w:t xml:space="preserve">       </w:t>
            </w:r>
            <w:hyperlink w:history="true" r:id="R17beb3eb3d5245e5">
              <w:r>
                <w:rPr>
                  <w:rStyle w:val="Hyperlink"/>
                  <w:color w:val="244061"/>
                </w:rPr>
                <w:t xml:space="preserve">Health</w:t>
              </w:r>
            </w:hyperlink>
            <w:r>
              <w:rPr>
                <w:rStyle w:val="row-content"/>
                <w:color w:val="244061"/>
              </w:rPr>
              <w:t xml:space="preserve">, Superseded 04/12/2013</w:t>
            </w:r>
          </w:p>
          <w:p>
            <w:r>
              <w:br/>
            </w:r>
            <w:hyperlink w:history="true" r:id="R5ec463ea426e4965">
              <w:r>
                <w:rPr>
                  <w:rStyle w:val="Hyperlink"/>
                </w:rPr>
                <w:t xml:space="preserve">Government health expenditure organisation expenditure purchase of goods and services data element cluster</w:t>
              </w:r>
            </w:hyperlink>
          </w:p>
          <w:p>
            <w:pPr>
              <w:spacing w:before="0" w:after="0"/>
            </w:pPr>
            <w:r>
              <w:rPr>
                <w:rStyle w:val="row-content"/>
                <w:color w:val="244061"/>
              </w:rPr>
              <w:t xml:space="preserve">       </w:t>
            </w:r>
            <w:hyperlink w:history="true" r:id="R5ce4715b2740417e">
              <w:r>
                <w:rPr>
                  <w:rStyle w:val="Hyperlink"/>
                  <w:color w:val="244061"/>
                </w:rPr>
                <w:t xml:space="preserve">Health</w:t>
              </w:r>
            </w:hyperlink>
            <w:r>
              <w:rPr>
                <w:rStyle w:val="row-content"/>
                <w:color w:val="244061"/>
              </w:rPr>
              <w:t xml:space="preserve">, Standard 04/12/2013</w:t>
            </w:r>
          </w:p>
          <w:p>
            <w:r>
              <w:br/>
            </w:r>
            <w:hyperlink w:history="true" r:id="Rb8c0137a32f04d26">
              <w:r>
                <w:rPr>
                  <w:rStyle w:val="Hyperlink"/>
                </w:rPr>
                <w:t xml:space="preserve">Government health expenditure organisation revenue data element cluster</w:t>
              </w:r>
            </w:hyperlink>
          </w:p>
          <w:p>
            <w:pPr>
              <w:spacing w:before="0" w:after="0"/>
            </w:pPr>
            <w:r>
              <w:rPr>
                <w:rStyle w:val="row-content"/>
                <w:color w:val="244061"/>
              </w:rPr>
              <w:t xml:space="preserve">       </w:t>
            </w:r>
            <w:hyperlink w:history="true" r:id="R507d44f490cf4778">
              <w:r>
                <w:rPr>
                  <w:rStyle w:val="Hyperlink"/>
                  <w:color w:val="244061"/>
                </w:rPr>
                <w:t xml:space="preserve">Health</w:t>
              </w:r>
            </w:hyperlink>
            <w:r>
              <w:rPr>
                <w:rStyle w:val="row-content"/>
                <w:color w:val="244061"/>
              </w:rPr>
              <w:t xml:space="preserve">, Standard 01/04/2009</w:t>
            </w:r>
          </w:p>
          <w:p>
            <w:r>
              <w:br/>
            </w:r>
          </w:p>
        </w:tc>
      </w:tr>
    </w:tbl>
    <w:p/>
    <w:tbl>
      <w:tblPr>
        <w:tblStyle w:val="TableGrid"/>
        <w:tblW w:w="0" w:type="auto"/>
      </w:tblPr>
    </w:tbl>
    <w:p>
      <w:r>
        <w:br/>
      </w:r>
    </w:p>
    <w:sectPr>
      <w:footerReference xmlns:r="http://schemas.openxmlformats.org/officeDocument/2006/relationships" w:type="default" r:id="Rb236dffa1b3444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372264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20223231f44f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36dffa1b344461" /><Relationship Type="http://schemas.openxmlformats.org/officeDocument/2006/relationships/header" Target="/word/header1.xml" Id="Rdb577407c8cf4026" /><Relationship Type="http://schemas.openxmlformats.org/officeDocument/2006/relationships/settings" Target="/word/settings.xml" Id="R8dc60392299d4106" /><Relationship Type="http://schemas.openxmlformats.org/officeDocument/2006/relationships/styles" Target="/word/styles.xml" Id="R7a64a5bce44b4b9f" /><Relationship Type="http://schemas.openxmlformats.org/officeDocument/2006/relationships/hyperlink" Target="https://meteor.aihw.gov.au/RegistrationAuthority/12" TargetMode="External" Id="Rfd352e2f2ac9405c" /><Relationship Type="http://schemas.openxmlformats.org/officeDocument/2006/relationships/hyperlink" Target="https://meteor.aihw.gov.au/content/352196" TargetMode="External" Id="R039862fa002c4139" /><Relationship Type="http://schemas.openxmlformats.org/officeDocument/2006/relationships/hyperlink" Target="https://meteor.aihw.gov.au/content/376406" TargetMode="External" Id="R05a3e35a482140b5" /><Relationship Type="http://schemas.openxmlformats.org/officeDocument/2006/relationships/hyperlink" Target="http://www.aihw.gov.au/publications/index.cfm" TargetMode="External" Id="Ra88bab75fbfe4d6c" /><Relationship Type="http://schemas.openxmlformats.org/officeDocument/2006/relationships/numbering" Target="/word/numbering.xml" Id="R51327ed7dd334a23" /><Relationship Type="http://schemas.openxmlformats.org/officeDocument/2006/relationships/hyperlink" Target="https://meteor.aihw.gov.au/content/354366" TargetMode="External" Id="Rf0ed97a4882c4c22" /><Relationship Type="http://schemas.openxmlformats.org/officeDocument/2006/relationships/hyperlink" Target="http://www.racgp.org.au/whatisgeneralpractice" TargetMode="External" Id="R9a6d9933a0d94f9b" /><Relationship Type="http://schemas.openxmlformats.org/officeDocument/2006/relationships/hyperlink" Target="https://meteor.aihw.gov.au/content/352204" TargetMode="External" Id="R536bb949e7ae467f" /><Relationship Type="http://schemas.openxmlformats.org/officeDocument/2006/relationships/hyperlink" Target="https://meteor.aihw.gov.au/RegistrationAuthority/12" TargetMode="External" Id="R1e3374aa78ed46fb" /><Relationship Type="http://schemas.openxmlformats.org/officeDocument/2006/relationships/hyperlink" Target="https://meteor.aihw.gov.au/content/376401" TargetMode="External" Id="R9a9ac23d38734bf1" /><Relationship Type="http://schemas.openxmlformats.org/officeDocument/2006/relationships/hyperlink" Target="https://meteor.aihw.gov.au/RegistrationAuthority/12" TargetMode="External" Id="Re55e78b850df4e8f" /><Relationship Type="http://schemas.openxmlformats.org/officeDocument/2006/relationships/hyperlink" Target="https://meteor.aihw.gov.au/content/542012" TargetMode="External" Id="Rba0731afe3024fd2" /><Relationship Type="http://schemas.openxmlformats.org/officeDocument/2006/relationships/hyperlink" Target="https://meteor.aihw.gov.au/RegistrationAuthority/12" TargetMode="External" Id="R2157e2e30fce4ad8" /><Relationship Type="http://schemas.openxmlformats.org/officeDocument/2006/relationships/hyperlink" Target="https://meteor.aihw.gov.au/content/376888" TargetMode="External" Id="R74316a8ed14348d8" /><Relationship Type="http://schemas.openxmlformats.org/officeDocument/2006/relationships/hyperlink" Target="https://meteor.aihw.gov.au/RegistrationAuthority/12" TargetMode="External" Id="Rec891fee8dce454a" /><Relationship Type="http://schemas.openxmlformats.org/officeDocument/2006/relationships/hyperlink" Target="https://meteor.aihw.gov.au/content/541951" TargetMode="External" Id="R1bfb9d56df244f64" /><Relationship Type="http://schemas.openxmlformats.org/officeDocument/2006/relationships/hyperlink" Target="https://meteor.aihw.gov.au/RegistrationAuthority/12" TargetMode="External" Id="Rb984793c1bb54a0a" /><Relationship Type="http://schemas.openxmlformats.org/officeDocument/2006/relationships/hyperlink" Target="https://meteor.aihw.gov.au/content/376897" TargetMode="External" Id="Rf290af3dd7d244df" /><Relationship Type="http://schemas.openxmlformats.org/officeDocument/2006/relationships/hyperlink" Target="https://meteor.aihw.gov.au/RegistrationAuthority/12" TargetMode="External" Id="R370a14bdbcb54bc6" /><Relationship Type="http://schemas.openxmlformats.org/officeDocument/2006/relationships/hyperlink" Target="https://meteor.aihw.gov.au/content/542014" TargetMode="External" Id="R21d0eb7fea3e44b0" /><Relationship Type="http://schemas.openxmlformats.org/officeDocument/2006/relationships/hyperlink" Target="https://meteor.aihw.gov.au/RegistrationAuthority/12" TargetMode="External" Id="R7b637adcd6794b7a" /><Relationship Type="http://schemas.openxmlformats.org/officeDocument/2006/relationships/hyperlink" Target="https://meteor.aihw.gov.au/content/376891" TargetMode="External" Id="R5018eeb5736140dc" /><Relationship Type="http://schemas.openxmlformats.org/officeDocument/2006/relationships/hyperlink" Target="https://meteor.aihw.gov.au/RegistrationAuthority/12" TargetMode="External" Id="R17beb3eb3d5245e5" /><Relationship Type="http://schemas.openxmlformats.org/officeDocument/2006/relationships/hyperlink" Target="https://meteor.aihw.gov.au/content/541976" TargetMode="External" Id="R5ec463ea426e4965" /><Relationship Type="http://schemas.openxmlformats.org/officeDocument/2006/relationships/hyperlink" Target="https://meteor.aihw.gov.au/RegistrationAuthority/12" TargetMode="External" Id="R5ce4715b2740417e" /><Relationship Type="http://schemas.openxmlformats.org/officeDocument/2006/relationships/hyperlink" Target="https://meteor.aihw.gov.au/content/376884" TargetMode="External" Id="Rb8c0137a32f04d26" /><Relationship Type="http://schemas.openxmlformats.org/officeDocument/2006/relationships/hyperlink" Target="https://meteor.aihw.gov.au/RegistrationAuthority/12" TargetMode="External" Id="R507d44f490cf4778" /></Relationships>
</file>

<file path=word/_rels/header1.xml.rels>&#65279;<?xml version="1.0" encoding="utf-8"?><Relationships xmlns="http://schemas.openxmlformats.org/package/2006/relationships"><Relationship Type="http://schemas.openxmlformats.org/officeDocument/2006/relationships/image" Target="/media/image.png" Id="R6620223231f44fc7" /></Relationships>
</file>