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db1bd17ed4f40" /></Relationships>
</file>

<file path=word/document.xml><?xml version="1.0" encoding="utf-8"?>
<w:document xmlns:r="http://schemas.openxmlformats.org/officeDocument/2006/relationships" xmlns:w="http://schemas.openxmlformats.org/wordprocessingml/2006/main">
  <w:body>
    <w:p>
      <w:pPr>
        <w:pStyle w:val="Title"/>
      </w:pPr>
      <w:r>
        <w:t>Person with cancer—lymphovascular invasion,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cancer—lymphovascular invasion,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Lymphovascular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7b99ec947400b">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or absence of the invasion of cancer cells into blood vessel(s) and/or the lymphatic system,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9cccff3f694ac4">
              <w:r>
                <w:rPr>
                  <w:rStyle w:val="Hyperlink"/>
                </w:rPr>
                <w:t xml:space="preserve">Person with cancer—lymphovascular invasion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2803a96cc44fbd">
              <w:r>
                <w:rPr>
                  <w:rStyle w:val="Hyperlink"/>
                </w:rPr>
                <w:t xml:space="preserve">Lymphovascular invasion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Suspicious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lymphovascular invasion should be recorded as Code 1, regardless of whether the extent of the invasion is described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cancer registries, collection of this data item should only be from notification and pathology reports relating to initial diagnosis and not for recurrent or metastatic disease.</w:t>
            </w:r>
          </w:p>
          <w:p>
            <w:pPr/>
            <w:r>
              <w:rPr>
                <w:rStyle w:val="row-content-rich-text"/>
              </w:rPr>
              <w:t xml:space="preserve">If pathology report pertaining to initial diagnosis is for a metastasis, and not the primary tumour, record as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Invasion of the lymphatics or blood vessels by cancer cells is an important prognostic factor that indicates that the tumour is likely to spread. This item is included in data items defined for reporting in the pathology reporting guidelines as prepared by the National Breast and Ovarian Cancer Centre and 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and Australian Cancer Network. The Pathology reporting of breast cancer. A guide for pathologists, surgeons, radiologists and oncologists (3rd edition). National Breast and Ovarian Cancer Centre, Surry Hills, NSW,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7add3158ef40d9">
              <w:r>
                <w:rPr>
                  <w:rStyle w:val="Hyperlink"/>
                </w:rPr>
                <w:t xml:space="preserve">Breast cancer (Cancer registries) DSS</w:t>
              </w:r>
            </w:hyperlink>
          </w:p>
          <w:p>
            <w:pPr>
              <w:pStyle w:val="registration-status"/>
              <w:spacing w:before="0" w:after="0"/>
            </w:pPr>
            <w:hyperlink w:history="true" r:id="Re14c73810b95415a">
              <w:r>
                <w:rPr>
                  <w:rStyle w:val="Hyperlink"/>
                  <w:color w:val="244061"/>
                </w:rPr>
                <w:t xml:space="preserve">Health</w:t>
              </w:r>
            </w:hyperlink>
            <w:r>
              <w:rPr>
                <w:rStyle w:val="row-content"/>
                <w:color w:val="244061"/>
              </w:rPr>
              <w:t xml:space="preserve">, Superseded 01/09/2012</w:t>
            </w:r>
          </w:p>
          <w:p>
            <w:r>
              <w:br/>
            </w:r>
            <w:hyperlink w:history="true" r:id="R845bdae8f74d408a">
              <w:r>
                <w:rPr>
                  <w:rStyle w:val="Hyperlink"/>
                </w:rPr>
                <w:t xml:space="preserve">Breast cancer (cancer registries) NBPDS</w:t>
              </w:r>
            </w:hyperlink>
          </w:p>
          <w:p>
            <w:pPr>
              <w:pStyle w:val="registration-status"/>
              <w:spacing w:before="0" w:after="0"/>
            </w:pPr>
            <w:hyperlink w:history="true" r:id="R3fed204009004464">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0bc8dc052126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370618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911ea5795c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8dc0521264617" /><Relationship Type="http://schemas.openxmlformats.org/officeDocument/2006/relationships/header" Target="/word/header1.xml" Id="R528d3b0931a54460" /><Relationship Type="http://schemas.openxmlformats.org/officeDocument/2006/relationships/settings" Target="/word/settings.xml" Id="R4a9b64c224824dfa" /><Relationship Type="http://schemas.openxmlformats.org/officeDocument/2006/relationships/styles" Target="/word/styles.xml" Id="R107e22c32a2f4b68" /><Relationship Type="http://schemas.openxmlformats.org/officeDocument/2006/relationships/hyperlink" Target="https://meteor.aihw.gov.au/RegistrationAuthority/12" TargetMode="External" Id="R0b87b99ec947400b" /><Relationship Type="http://schemas.openxmlformats.org/officeDocument/2006/relationships/hyperlink" Target="https://meteor.aihw.gov.au/content/370614" TargetMode="External" Id="Rf09cccff3f694ac4" /><Relationship Type="http://schemas.openxmlformats.org/officeDocument/2006/relationships/hyperlink" Target="https://meteor.aihw.gov.au/content/370616" TargetMode="External" Id="Re92803a96cc44fbd" /><Relationship Type="http://schemas.openxmlformats.org/officeDocument/2006/relationships/hyperlink" Target="https://meteor.aihw.gov.au/content/370008" TargetMode="External" Id="Rd67add3158ef40d9" /><Relationship Type="http://schemas.openxmlformats.org/officeDocument/2006/relationships/hyperlink" Target="https://meteor.aihw.gov.au/RegistrationAuthority/12" TargetMode="External" Id="Re14c73810b95415a" /><Relationship Type="http://schemas.openxmlformats.org/officeDocument/2006/relationships/hyperlink" Target="https://meteor.aihw.gov.au/content/491771" TargetMode="External" Id="R845bdae8f74d408a" /><Relationship Type="http://schemas.openxmlformats.org/officeDocument/2006/relationships/hyperlink" Target="https://meteor.aihw.gov.au/RegistrationAuthority/12" TargetMode="External" Id="R3fed204009004464" /></Relationships>
</file>

<file path=word/_rels/header1.xml.rels>&#65279;<?xml version="1.0" encoding="utf-8"?><Relationships xmlns="http://schemas.openxmlformats.org/package/2006/relationships"><Relationship Type="http://schemas.openxmlformats.org/officeDocument/2006/relationships/image" Target="/media/image.png" Id="Rf9911ea5795c4bc4" /></Relationships>
</file>