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9132a2c974025" /></Relationships>
</file>

<file path=word/document.xml><?xml version="1.0" encoding="utf-8"?>
<w:document xmlns:r="http://schemas.openxmlformats.org/officeDocument/2006/relationships" xmlns:w="http://schemas.openxmlformats.org/wordprocessingml/2006/main">
  <w:body>
    <w:p>
      <w:pPr>
        <w:pStyle w:val="Title"/>
      </w:pPr>
      <w:r>
        <w:t>Person—housing 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tenure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5a22041d84204">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cf276358cebb45a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ab858e81bc45b2">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a62a0328d74021">
              <w:r>
                <w:rPr>
                  <w:rStyle w:val="Hyperlink"/>
                </w:rPr>
                <w:t xml:space="preserve">Tenure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 without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Owner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Purchaser/renter under a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Occupier under a rent free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Occupier under a 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Tenure type</w:t>
            </w:r>
            <w:r>
              <w:rPr>
                <w:rStyle w:val="row-content-rich-text"/>
              </w:rPr>
              <w:t xml:space="preserve"> of persons in caravans and manufactured homes is determined according to the tenure of the dwelling structure and not the land. Thus, a person who owns a caravan and rents a site in a caravan park is regarded as an owner.</w:t>
            </w:r>
          </w:p>
          <w:p>
            <w:r>
              <w:br/>
            </w:r>
            <w:r>
              <w:rPr>
                <w:rStyle w:val="row-content-rich-text"/>
              </w:rPr>
              <w:t xml:space="preserve">Code 1. Owner without a mortgage:</w:t>
            </w:r>
            <w:r>
              <w:br/>
            </w: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r>
              <w:br/>
            </w:r>
            <w:r>
              <w:rPr>
                <w:rStyle w:val="row-content-rich-text"/>
              </w:rPr>
              <w:t xml:space="preserve">Code 2. Owner with a mortgage:</w:t>
            </w:r>
            <w:r>
              <w:br/>
            </w:r>
            <w:r>
              <w:rPr>
                <w:rStyle w:val="row-content-rich-text"/>
              </w:rPr>
              <w:t xml:space="preserve">A person who owns their dwelling and is repaying a mortgage or loans secured against the dwelling, regardless of the purpose of the mortgage or secured loan.</w:t>
            </w:r>
          </w:p>
          <w:p>
            <w:r>
              <w:br/>
            </w:r>
            <w:r>
              <w:rPr>
                <w:rStyle w:val="row-content-rich-text"/>
              </w:rPr>
              <w:t xml:space="preserve">Code 3. Purchaser/renter under a rent/buy scheme:</w:t>
            </w:r>
            <w:r>
              <w:br/>
            </w:r>
            <w:r>
              <w:rPr>
                <w:rStyle w:val="row-content-rich-text"/>
              </w:rPr>
              <w:t xml:space="preserve">A person purchasing a proportion of the equity in the dwelling, and paying rent for the remainder.</w:t>
            </w:r>
          </w:p>
          <w:p>
            <w:r>
              <w:br/>
            </w:r>
            <w:r>
              <w:rPr>
                <w:rStyle w:val="row-content-rich-text"/>
              </w:rPr>
              <w:t xml:space="preserve">Code 4. Renter:</w:t>
            </w:r>
            <w:r>
              <w:br/>
            </w:r>
            <w:r>
              <w:rPr>
                <w:rStyle w:val="row-content-rich-text"/>
              </w:rPr>
              <w:t xml:space="preserve">A person paying money to another person/organisation in return for accommodation. Included in this category are: Boarder, a person who is provided with meals and lodging in return for money; and Lodger, a person who is provided with lodging only (a room or rooms) in return for money.</w:t>
            </w:r>
          </w:p>
          <w:p>
            <w:r>
              <w:br/>
            </w:r>
            <w:r>
              <w:rPr>
                <w:rStyle w:val="row-content-rich-text"/>
              </w:rPr>
              <w:t xml:space="preserve">Code 5. Occupier under rent free accommodation:</w:t>
            </w:r>
            <w:r>
              <w:br/>
            </w:r>
            <w:r>
              <w:rPr>
                <w:rStyle w:val="row-content-rich-text"/>
              </w:rPr>
              <w:t xml:space="preserve">A person paying no money in exchange for accommodation. Exclude owners with or without a mortgage, house-sitters, and those paying accommodation in goods and services.</w:t>
            </w:r>
          </w:p>
          <w:p>
            <w:r>
              <w:br/>
            </w:r>
            <w:r>
              <w:rPr>
                <w:rStyle w:val="row-content-rich-text"/>
              </w:rPr>
              <w:t xml:space="preserve">Code 6. Occupier under a life tenure scheme:</w:t>
            </w:r>
            <w:r>
              <w:br/>
            </w:r>
            <w:r>
              <w:rPr>
                <w:rStyle w:val="row-content-rich-text"/>
              </w:rPr>
              <w:t xml:space="preserve">A person with a contract to live in the dwelling for the term of his/her life but without the full rights of ownership and usually has/have limited or no equity in the dwelling. This is a common arrangement in retirement villages.</w:t>
            </w:r>
          </w:p>
          <w:p>
            <w:r>
              <w:br/>
            </w:r>
            <w:r>
              <w:rPr>
                <w:rStyle w:val="row-content-rich-text"/>
              </w:rPr>
              <w:t xml:space="preserve">Code 7. Other tenure type:</w:t>
            </w:r>
            <w:r>
              <w:br/>
            </w:r>
            <w:r>
              <w:rPr>
                <w:rStyle w:val="row-content-rich-text"/>
              </w:rPr>
              <w:t xml:space="preserve">The tenure does not fit any of the above categories. For example: house-sitting, payment in kind, for a specific service.</w:t>
            </w:r>
            <w:r>
              <w:br/>
            </w: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Populations tabulated for these categories may not correspond to populations in household level collections. In particular, a person classified as a ‘Renter’, ‘Rent-free’, and ‘Other’ may correspond to ‘Owners with/out a mortgage’. For example, a dependent student pays rent to their parents in the same household, may report their tenure type as 'Renter' or ' Boarder' in a person level collection , whereas in a Household level collection, they would be assigned the ‘highest’ tenure type in the household, for example ‘Owner with a mortgage’.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Census Data Dictionary (Cat. no. 2901.0). </w:t>
            </w:r>
          </w:p>
          <w:p>
            <w:hyperlink w:history="true" r:id="R09e3b07c23324e24">
              <w:r>
                <w:rPr>
                  <w:rStyle w:val="Hyperlink"/>
                </w:rPr>
                <w:t xml:space="preserve">2901.0 - Census Dictionary, 2006 (Reissue)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797c494c794873">
              <w:r>
                <w:rPr>
                  <w:rStyle w:val="Hyperlink"/>
                </w:rPr>
                <w:t xml:space="preserve">Disability services client details cluster</w:t>
              </w:r>
            </w:hyperlink>
          </w:p>
          <w:p>
            <w:pPr>
              <w:spacing w:before="0" w:after="0"/>
            </w:pPr>
            <w:r>
              <w:rPr>
                <w:rStyle w:val="row-content"/>
                <w:color w:val="244061"/>
              </w:rPr>
              <w:t xml:space="preserve">       </w:t>
            </w:r>
            <w:hyperlink w:history="true" r:id="Re9c6f1fe3c754f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2e32461ff1f485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029618aeaf8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484000f87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9618aeaf843c6" /><Relationship Type="http://schemas.openxmlformats.org/officeDocument/2006/relationships/header" Target="/word/header1.xml" Id="Rbf8130a171d6423c" /><Relationship Type="http://schemas.openxmlformats.org/officeDocument/2006/relationships/settings" Target="/word/settings.xml" Id="Rca043268e7d04c78" /><Relationship Type="http://schemas.openxmlformats.org/officeDocument/2006/relationships/styles" Target="/word/styles.xml" Id="Rf481884f14544382" /><Relationship Type="http://schemas.openxmlformats.org/officeDocument/2006/relationships/hyperlink" Target="https://meteor.aihw.gov.au/RegistrationAuthority/1" TargetMode="External" Id="R7f65a22041d84204" /><Relationship Type="http://schemas.openxmlformats.org/officeDocument/2006/relationships/hyperlink" Target="https://meteor.aihw.gov.au/RegistrationAuthority/16" TargetMode="External" Id="Rcf276358cebb45a7" /><Relationship Type="http://schemas.openxmlformats.org/officeDocument/2006/relationships/hyperlink" Target="https://meteor.aihw.gov.au/content/337684" TargetMode="External" Id="R74ab858e81bc45b2" /><Relationship Type="http://schemas.openxmlformats.org/officeDocument/2006/relationships/hyperlink" Target="https://meteor.aihw.gov.au/content/368083" TargetMode="External" Id="R5ca62a0328d74021" /><Relationship Type="http://schemas.openxmlformats.org/officeDocument/2006/relationships/hyperlink" Target="http://www.abs.gov.au/AUSSTATS/abs@.nsf/DetailsPage/2901.02006%20(Reissue)?OpenDocument://" TargetMode="External" Id="R09e3b07c23324e24" /><Relationship Type="http://schemas.openxmlformats.org/officeDocument/2006/relationships/hyperlink" Target="https://meteor.aihw.gov.au/content/484543" TargetMode="External" Id="R93797c494c794873" /><Relationship Type="http://schemas.openxmlformats.org/officeDocument/2006/relationships/hyperlink" Target="https://meteor.aihw.gov.au/RegistrationAuthority/1" TargetMode="External" Id="Re9c6f1fe3c754fc7" /><Relationship Type="http://schemas.openxmlformats.org/officeDocument/2006/relationships/hyperlink" Target="https://meteor.aihw.gov.au/RegistrationAuthority/16" TargetMode="External" Id="R12e32461ff1f485d" /></Relationships>
</file>

<file path=word/_rels/header1.xml.rels>&#65279;<?xml version="1.0" encoding="utf-8"?><Relationships xmlns="http://schemas.openxmlformats.org/package/2006/relationships"><Relationship Type="http://schemas.openxmlformats.org/officeDocument/2006/relationships/image" Target="/media/image.png" Id="Rc8f484000f8740cc" /></Relationships>
</file>