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3fac9ffd3d4bf6" /></Relationships>
</file>

<file path=word/document.xml><?xml version="1.0" encoding="utf-8"?>
<w:document xmlns:r="http://schemas.openxmlformats.org/officeDocument/2006/relationships" xmlns:w="http://schemas.openxmlformats.org/wordprocessingml/2006/main">
  <w:body>
    <w:p>
      <w:pPr>
        <w:pStyle w:val="Title"/>
      </w:pPr>
      <w:r>
        <w:t>Source of cash income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Source of cash income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368023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917d2db721401f">
              <w:r>
                <w:rPr>
                  <w:rStyle w:val="Hyperlink"/>
                  <w:color w:val="244061"/>
                </w:rPr>
                <w:t xml:space="preserve">Community Services (retired)</w:t>
              </w:r>
            </w:hyperlink>
            <w:r>
              <w:rPr>
                <w:rStyle w:val="row-content"/>
                <w:color w:val="244061"/>
              </w:rPr>
              <w:t xml:space="preserve">, Recorded 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person's source of cash income.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Employee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Government cash pensions and allowances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Nil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stated/not known/inadequately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with more than one source of income should be categorised only to the value domain category, which best describes their primary source of income.</w:t>
            </w:r>
          </w:p>
          <w:p>
            <w:pPr>
              <w:spacing w:after="160"/>
            </w:pPr>
            <w:r>
              <w:rPr>
                <w:rStyle w:val="row-content-rich-text"/>
              </w:rPr>
              <w:t xml:space="preserve">The value domain categories shown above can be linked to broad sources of cash income specified in the Statistical Concepts Library of the Australian Bureau of Statistics. 'Sources of cash income' and 'Principal source of cash income' are classified to the Standard classification of sources of cash income. This is a three level hierarchical classification and is described in detail at the broad (one-digit), narrow (two-digit) and detailed (four-digit) levels.</w:t>
            </w:r>
          </w:p>
          <w:p>
            <w:pPr>
              <w:spacing w:after="160"/>
            </w:pPr>
            <w:r>
              <w:rPr>
                <w:rStyle w:val="row-content-rich-text"/>
              </w:rPr>
              <w:t xml:space="preserve">Code 1     Primary cash income:</w:t>
            </w:r>
          </w:p>
          <w:p>
            <w:pPr>
              <w:spacing w:after="160"/>
            </w:pPr>
            <w:r>
              <w:rPr>
                <w:rStyle w:val="row-content-rich-text"/>
              </w:rPr>
              <w:t xml:space="preserve">Payments from an employer or own limited liability company, including wages or salary, tips, piece rates, penalty rates, loadings, regular bonuses, payment for time not worked (sick leave, recreation leave, public holidays etc.) and director's fees. An employee is classed as receiving cash from an employer or his/her own incorporated enterprise.</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Code 3     Government cash pensions and allowances</w:t>
            </w:r>
          </w:p>
          <w:p>
            <w:pPr>
              <w:spacing w:after="160"/>
            </w:pPr>
            <w:r>
              <w:rPr>
                <w:rStyle w:val="row-content-rich-text"/>
              </w:rPr>
              <w:t xml:space="preserve"> </w:t>
            </w:r>
          </w:p>
          <w:p>
            <w:pPr>
              <w:spacing w:after="160"/>
            </w:pPr>
            <w:r>
              <w:rPr>
                <w:rStyle w:val="row-content-rich-text"/>
              </w:rPr>
              <w:t xml:space="preserve">All government cash pensions, benefits and allowances.</w:t>
            </w:r>
          </w:p>
          <w:p>
            <w:pPr>
              <w:spacing w:after="160"/>
            </w:pPr>
            <w:r>
              <w:rPr>
                <w:rStyle w:val="row-content-rich-text"/>
              </w:rPr>
              <w:t xml:space="preserve">Code 4     Other income:</w:t>
            </w:r>
          </w:p>
          <w:p>
            <w:pPr/>
            <w:r>
              <w:rPr>
                <w:rStyle w:val="row-content-rich-text"/>
              </w:rPr>
              <w:t xml:space="preserve">Includes cash income deriving from the ownership of assets (comprising returns from financial assets, physical assets and from intellectual assets), superannuation/annuities, transfers from private organisations (e.g. workers compensation), transfers from other households (e.g. child support payments) and scholarships.This code also includes </w:t>
            </w:r>
            <w:hyperlink w:tooltip="The net of operating expenses including: labour costs in the form of wages, salaries and supplements; the value of raw materials and services purchased; the repair and maintenance of equipment (including vehicles); the purchase of fuel; indirect taxes;..." w:history="true" r:id="R175650e205694b99">
              <w:r>
                <w:rPr>
                  <w:rStyle w:val="Hyperlink"/>
                  <w:b/>
                </w:rPr>
                <w:t xml:space="preserve">unincorporated business cash income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Please note that the ABS classification on which this is based has a separate code for </w:t>
            </w:r>
          </w:p>
          <w:p>
            <w:hyperlink w:tooltip="The net of operating expenses including: labour costs in the form of wages, salaries and supplements; the value of raw materials and services purchased; the repair and maintenance of equipment (including vehicles); the purchase of fuel; indirect taxes;..." w:history="true" r:id="R3002d5540eda4239">
              <w:r>
                <w:rPr>
                  <w:rStyle w:val="Hyperlink"/>
                  <w:b/>
                </w:rPr>
                <w:t xml:space="preserve">unincorporated business cash income</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concepts library, Standards for Social, Labour and Demographic Variables, Cash Income Variables, Framework for Standard Cash Income Variables, Classification and Coding, Canberra: Australian Bureau of Statistics.</w:t>
            </w:r>
          </w:p>
          <w:p>
            <w:pPr>
              <w:spacing w:after="160"/>
            </w:pPr>
            <w:r>
              <w:rPr>
                <w:rStyle w:val="row-content-rich-text"/>
              </w:rPr>
              <w:t xml:space="preserve">Reference online through:</w:t>
            </w:r>
          </w:p>
          <w:p>
            <w:hyperlink w:history="true" r:id="R5da906e1f8ca449f">
              <w:r>
                <w:rPr>
                  <w:rStyle w:val="Hyperlink"/>
                </w:rPr>
                <w:t xml:space="preserve">Ausstats Standards for Social, Labour and Demographic Variables, Cash Income Variables</w:t>
              </w:r>
              <w:r>
                <w:br/>
              </w:r>
              <w:r>
                <w:rPr>
                  <w:rStyle w:val="row-content-rich-text"/>
                </w:rPr>
                <w:t xml:space="preserve">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3b4cec77934c6c">
              <w:r>
                <w:rPr>
                  <w:rStyle w:val="Hyperlink"/>
                </w:rPr>
                <w:t xml:space="preserve">Source of cash income code N</w:t>
              </w:r>
            </w:hyperlink>
          </w:p>
          <w:p>
            <w:pPr>
              <w:pStyle w:val="registration-status"/>
              <w:spacing w:before="0" w:after="0"/>
            </w:pPr>
            <w:hyperlink w:history="true" r:id="R9eb6098be99b4130">
              <w:r>
                <w:rPr>
                  <w:rStyle w:val="Hyperlink"/>
                  <w:color w:val="244061"/>
                </w:rPr>
                <w:t xml:space="preserve">Community Services (retired)</w:t>
              </w:r>
            </w:hyperlink>
            <w:r>
              <w:rPr>
                <w:rStyle w:val="row-content"/>
                <w:color w:val="244061"/>
              </w:rPr>
              <w:t xml:space="preserve">, Standard 29/04/2006</w:t>
            </w:r>
          </w:p>
          <w:p>
            <w:r>
              <w:br/>
            </w:r>
            <w:r>
              <w:rPr>
                <w:rStyle w:val="row-content"/>
              </w:rPr>
              <w:t xml:space="preserve">See also </w:t>
            </w:r>
            <w:hyperlink w:history="true" r:id="R3f4f9cb34dc147c5">
              <w:r>
                <w:rPr>
                  <w:rStyle w:val="Hyperlink"/>
                </w:rPr>
                <w:t xml:space="preserve">Person—source of cash income (all) code NN</w:t>
              </w:r>
            </w:hyperlink>
          </w:p>
          <w:p>
            <w:pPr>
              <w:pStyle w:val="registration-status"/>
              <w:spacing w:before="0" w:after="0"/>
            </w:pPr>
            <w:hyperlink w:history="true" r:id="Rb2914e07db3a4b19">
              <w:r>
                <w:rPr>
                  <w:rStyle w:val="Hyperlink"/>
                  <w:color w:val="244061"/>
                </w:rPr>
                <w:t xml:space="preserve">Community Services (retired)</w:t>
              </w:r>
            </w:hyperlink>
            <w:r>
              <w:rPr>
                <w:rStyle w:val="row-content"/>
                <w:color w:val="244061"/>
              </w:rPr>
              <w:t xml:space="preserve">, Standard 29/04/2006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ff4b03075894111">
              <w:r>
                <w:rPr>
                  <w:rStyle w:val="Hyperlink"/>
                </w:rPr>
                <w:t xml:space="preserve">Person—source of cash income (principal), code N</w:t>
              </w:r>
            </w:hyperlink>
          </w:p>
          <w:p>
            <w:pPr>
              <w:pStyle w:val="registration-status"/>
              <w:spacing w:before="0" w:after="0"/>
            </w:pPr>
            <w:hyperlink w:history="true" r:id="R68319c18342e4ae5">
              <w:r>
                <w:rPr>
                  <w:rStyle w:val="Hyperlink"/>
                  <w:color w:val="244061"/>
                </w:rPr>
                <w:t xml:space="preserve">Community Services (retired)</w:t>
              </w:r>
            </w:hyperlink>
            <w:r>
              <w:rPr>
                <w:rStyle w:val="row-content"/>
                <w:color w:val="244061"/>
              </w:rPr>
              <w:t xml:space="preserve">, Recorded 01/07/2009</w:t>
            </w:r>
          </w:p>
          <w:p>
            <w:r>
              <w:br/>
            </w:r>
          </w:p>
        </w:tc>
      </w:tr>
    </w:tbl>
    <w:p>
      <w:r>
        <w:br/>
      </w:r>
    </w:p>
    <w:sectPr>
      <w:footerReference xmlns:r="http://schemas.openxmlformats.org/officeDocument/2006/relationships" w:type="default" r:id="Rfe769f6d448b41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368023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e60ee444be43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769f6d448b41f5" /><Relationship Type="http://schemas.openxmlformats.org/officeDocument/2006/relationships/header" Target="/word/header1.xml" Id="R5ea4b4aa211047ce" /><Relationship Type="http://schemas.openxmlformats.org/officeDocument/2006/relationships/settings" Target="/word/settings.xml" Id="R53f4ed30119a48d9" /><Relationship Type="http://schemas.openxmlformats.org/officeDocument/2006/relationships/styles" Target="/word/styles.xml" Id="Rbce06db539f84d7b" /><Relationship Type="http://schemas.openxmlformats.org/officeDocument/2006/relationships/hyperlink" Target="https://meteor.aihw.gov.au/RegistrationAuthority/1" TargetMode="External" Id="R3a917d2db721401f" /><Relationship Type="http://schemas.openxmlformats.org/officeDocument/2006/relationships/hyperlink" Target="https://meteor.aihw.gov.au/content/368035" TargetMode="External" Id="R175650e205694b99" /><Relationship Type="http://schemas.openxmlformats.org/officeDocument/2006/relationships/hyperlink" Target="https://meteor.aihw.gov.au/content/368035" TargetMode="External" Id="R3002d5540eda4239" /><Relationship Type="http://schemas.openxmlformats.org/officeDocument/2006/relationships/hyperlink" Target="http://www.abs.gov.au/Ausstats/abs@.nsf/66f306f503e529a5ca25697e0017661f/3b68ad17755e9f33ca256e6200738de8!OpenDocument" TargetMode="External" Id="R5da906e1f8ca449f" /><Relationship Type="http://schemas.openxmlformats.org/officeDocument/2006/relationships/hyperlink" Target="https://meteor.aihw.gov.au/content/321051" TargetMode="External" Id="R763b4cec77934c6c" /><Relationship Type="http://schemas.openxmlformats.org/officeDocument/2006/relationships/hyperlink" Target="https://meteor.aihw.gov.au/RegistrationAuthority/1" TargetMode="External" Id="R9eb6098be99b4130" /><Relationship Type="http://schemas.openxmlformats.org/officeDocument/2006/relationships/hyperlink" Target="https://meteor.aihw.gov.au/content/321156" TargetMode="External" Id="R3f4f9cb34dc147c5" /><Relationship Type="http://schemas.openxmlformats.org/officeDocument/2006/relationships/hyperlink" Target="https://meteor.aihw.gov.au/RegistrationAuthority/1" TargetMode="External" Id="Rb2914e07db3a4b19" /><Relationship Type="http://schemas.openxmlformats.org/officeDocument/2006/relationships/hyperlink" Target="https://meteor.aihw.gov.au/content/367880" TargetMode="External" Id="R5ff4b03075894111" /><Relationship Type="http://schemas.openxmlformats.org/officeDocument/2006/relationships/hyperlink" Target="https://meteor.aihw.gov.au/RegistrationAuthority/1" TargetMode="External" Id="R68319c18342e4ae5" /></Relationships>
</file>

<file path=word/_rels/header1.xml.rels>&#65279;<?xml version="1.0" encoding="utf-8"?><Relationships xmlns="http://schemas.openxmlformats.org/package/2006/relationships"><Relationship Type="http://schemas.openxmlformats.org/officeDocument/2006/relationships/image" Target="/media/image.png" Id="R31e60ee444be43d9" /></Relationships>
</file>