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b2e0a554ad4c1f" /></Relationships>
</file>

<file path=word/document.xml><?xml version="1.0" encoding="utf-8"?>
<w:document xmlns:r="http://schemas.openxmlformats.org/officeDocument/2006/relationships" xmlns:w="http://schemas.openxmlformats.org/wordprocessingml/2006/main">
  <w:body>
    <w:p>
      <w:pPr>
        <w:pStyle w:val="Title"/>
      </w:pPr>
      <w:r>
        <w:t>Organisation—expenses, total Australian currency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Organisation—expenses, total Australian currency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expenses, total Australian currency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dba00fc8564d84">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consisting mainly of wages, salaries and supplements, superannuation employer contributions, workers compensation premiums and payouts, purchases of goods and services and consumption of fixed capital (depreciation), in Australian 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5053aa47144064">
              <w:r>
                <w:rPr>
                  <w:rStyle w:val="Hyperlink"/>
                </w:rPr>
                <w:t xml:space="preserve">Organisation—expenses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724c04dbf64e77">
              <w:r>
                <w:rPr>
                  <w:rStyle w:val="Hyperlink"/>
                </w:rPr>
                <w:t xml:space="preserve">Total Australian currency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and nationally collated for the reporting period - the financial year ending 30th June each year.</w:t>
            </w:r>
          </w:p>
          <w:p>
            <w:pPr>
              <w:spacing w:after="160"/>
            </w:pPr>
            <w:r>
              <w:rPr>
                <w:rStyle w:val="row-content-rich-text"/>
              </w:rPr>
              <w:t xml:space="preserve">Expenses are to be reported in millions to the nearest 100,000 e.g. $4,064,000 should be reported as $4.1 million.</w:t>
            </w:r>
          </w:p>
          <w:p>
            <w:pPr>
              <w:spacing w:after="160"/>
            </w:pPr>
            <w:r>
              <w:rPr>
                <w:rStyle w:val="row-content-rich-text"/>
              </w:rPr>
              <w:t xml:space="preserve">When revenue from transactions are offset against expenses from transactions, the result equates to the net operating balance in accordance with Australian Accounting Standards Board 1049 (September 2006).</w:t>
            </w:r>
          </w:p>
          <w:p>
            <w:pPr>
              <w:spacing w:after="160"/>
            </w:pPr>
            <w:r>
              <w:rPr>
                <w:rStyle w:val="row-content-rich-text"/>
              </w:rPr>
              <w:t xml:space="preserve">Includes:</w:t>
            </w:r>
          </w:p>
          <w:p>
            <w:pPr>
              <w:pStyle w:val="ListParagraph"/>
              <w:numPr>
                <w:ilvl w:val="0"/>
                <w:numId w:val="2"/>
              </w:numPr>
            </w:pPr>
            <w:r>
              <w:rPr>
                <w:rStyle w:val="row-content-rich-text"/>
              </w:rPr>
              <w:t xml:space="preserve">Salaries, wages and supplements</w:t>
            </w:r>
          </w:p>
          <w:p>
            <w:pPr>
              <w:pStyle w:val="ListParagraph"/>
              <w:numPr>
                <w:ilvl w:val="0"/>
                <w:numId w:val="2"/>
              </w:numPr>
            </w:pPr>
            <w:r>
              <w:rPr>
                <w:rStyle w:val="row-content-rich-text"/>
              </w:rPr>
              <w:t xml:space="preserve">Superannuation employer contributions</w:t>
            </w:r>
          </w:p>
          <w:p>
            <w:pPr>
              <w:pStyle w:val="ListParagraph"/>
              <w:numPr>
                <w:ilvl w:val="0"/>
                <w:numId w:val="2"/>
              </w:numPr>
            </w:pPr>
            <w:r>
              <w:rPr>
                <w:rStyle w:val="row-content-rich-text"/>
              </w:rPr>
              <w:t xml:space="preserve">Workers compensation premiums and payments</w:t>
            </w:r>
          </w:p>
          <w:p>
            <w:pPr>
              <w:pStyle w:val="ListParagraph"/>
              <w:numPr>
                <w:ilvl w:val="0"/>
                <w:numId w:val="2"/>
              </w:numPr>
            </w:pPr>
            <w:r>
              <w:rPr>
                <w:rStyle w:val="row-content-rich-text"/>
              </w:rPr>
              <w:t xml:space="preserve">Consumption of fixed capital (depreciation).</w:t>
            </w:r>
          </w:p>
          <w:p>
            <w:pPr>
              <w:pStyle w:val="ListParagraph"/>
              <w:numPr>
                <w:ilvl w:val="0"/>
                <w:numId w:val="2"/>
              </w:numPr>
            </w:pPr>
            <w:r>
              <w:rPr>
                <w:rStyle w:val="row-content-rich-text"/>
              </w:rPr>
              <w:t xml:space="preserve">Administrative expenses (excluding workers compensation premiums and payouts)</w:t>
            </w:r>
          </w:p>
          <w:p>
            <w:pPr>
              <w:pStyle w:val="ListParagraph"/>
              <w:numPr>
                <w:ilvl w:val="0"/>
                <w:numId w:val="2"/>
              </w:numPr>
            </w:pPr>
            <w:r>
              <w:rPr>
                <w:rStyle w:val="row-content-rich-text"/>
              </w:rPr>
              <w:t xml:space="preserve">Domestic services</w:t>
            </w:r>
          </w:p>
          <w:p>
            <w:pPr>
              <w:pStyle w:val="ListParagraph"/>
              <w:numPr>
                <w:ilvl w:val="0"/>
                <w:numId w:val="2"/>
              </w:numPr>
            </w:pPr>
            <w:r>
              <w:rPr>
                <w:rStyle w:val="row-content-rich-text"/>
              </w:rPr>
              <w:t xml:space="preserve">Drug supplies</w:t>
            </w:r>
          </w:p>
          <w:p>
            <w:pPr>
              <w:pStyle w:val="ListParagraph"/>
              <w:numPr>
                <w:ilvl w:val="0"/>
                <w:numId w:val="2"/>
              </w:numPr>
            </w:pPr>
            <w:r>
              <w:rPr>
                <w:rStyle w:val="row-content-rich-text"/>
              </w:rPr>
              <w:t xml:space="preserve">Food supplies</w:t>
            </w:r>
          </w:p>
          <w:p>
            <w:pPr>
              <w:pStyle w:val="ListParagraph"/>
              <w:numPr>
                <w:ilvl w:val="0"/>
                <w:numId w:val="2"/>
              </w:numPr>
            </w:pPr>
            <w:r>
              <w:rPr>
                <w:rStyle w:val="row-content-rich-text"/>
              </w:rPr>
              <w:t xml:space="preserve">Grants</w:t>
            </w:r>
          </w:p>
          <w:p>
            <w:pPr>
              <w:pStyle w:val="ListParagraph"/>
              <w:numPr>
                <w:ilvl w:val="0"/>
                <w:numId w:val="2"/>
              </w:numPr>
            </w:pPr>
            <w:r>
              <w:rPr>
                <w:rStyle w:val="row-content-rich-text"/>
              </w:rPr>
              <w:t xml:space="preserve">Medical and surgical supplies</w:t>
            </w:r>
          </w:p>
          <w:p>
            <w:pPr>
              <w:pStyle w:val="ListParagraph"/>
              <w:numPr>
                <w:ilvl w:val="0"/>
                <w:numId w:val="2"/>
              </w:numPr>
            </w:pPr>
            <w:r>
              <w:rPr>
                <w:rStyle w:val="row-content-rich-text"/>
              </w:rPr>
              <w:t xml:space="preserve">Patient transport</w:t>
            </w:r>
          </w:p>
          <w:p>
            <w:pPr>
              <w:pStyle w:val="ListParagraph"/>
              <w:numPr>
                <w:ilvl w:val="0"/>
                <w:numId w:val="2"/>
              </w:numPr>
            </w:pPr>
            <w:r>
              <w:rPr>
                <w:rStyle w:val="row-content-rich-text"/>
              </w:rPr>
              <w:t xml:space="preserve">Payments to visiting medical officers</w:t>
            </w:r>
          </w:p>
          <w:p>
            <w:pPr>
              <w:pStyle w:val="ListParagraph"/>
              <w:numPr>
                <w:ilvl w:val="0"/>
                <w:numId w:val="2"/>
              </w:numPr>
            </w:pPr>
            <w:r>
              <w:rPr>
                <w:rStyle w:val="row-content-rich-text"/>
              </w:rPr>
              <w:t xml:space="preserve">Repairs and maintenance</w:t>
            </w:r>
          </w:p>
          <w:p>
            <w:pPr>
              <w:pStyle w:val="ListParagraph"/>
              <w:numPr>
                <w:ilvl w:val="0"/>
                <w:numId w:val="2"/>
              </w:numPr>
            </w:pPr>
            <w:r>
              <w:rPr>
                <w:rStyle w:val="row-content-rich-text"/>
              </w:rPr>
              <w:t xml:space="preserve">Social benefits</w:t>
            </w:r>
          </w:p>
          <w:p>
            <w:pPr>
              <w:pStyle w:val="ListParagraph"/>
              <w:numPr>
                <w:ilvl w:val="0"/>
                <w:numId w:val="2"/>
              </w:numPr>
            </w:pPr>
            <w:r>
              <w:rPr>
                <w:rStyle w:val="row-content-rich-text"/>
              </w:rPr>
              <w:t xml:space="preserve">Subsidy expenses</w:t>
            </w:r>
          </w:p>
          <w:p>
            <w:pPr>
              <w:pStyle w:val="ListParagraph"/>
              <w:numPr>
                <w:ilvl w:val="0"/>
                <w:numId w:val="2"/>
              </w:numPr>
            </w:pPr>
            <w:r>
              <w:rPr>
                <w:rStyle w:val="row-content-rich-text"/>
              </w:rPr>
              <w:t xml:space="preserve">Other expenses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Expenses are to be reported for the </w:t>
            </w:r>
            <w:r>
              <w:rPr>
                <w:rStyle w:val="row-content-rich-text"/>
                <w:i/>
              </w:rPr>
              <w:t xml:space="preserve">Health industry relevant organisation type</w:t>
            </w:r>
            <w:r>
              <w:rPr>
                <w:rStyle w:val="row-content-rich-text"/>
              </w:rPr>
              <w:t xml:space="preserve"> and </w:t>
            </w:r>
            <w:r>
              <w:rPr>
                <w:rStyle w:val="row-content-rich-text"/>
                <w:i/>
              </w:rPr>
              <w:t xml:space="preserve">Type</w:t>
            </w:r>
            <w:r>
              <w:rPr>
                <w:rStyle w:val="row-content-rich-text"/>
                <w:i/>
              </w:rPr>
              <w:t xml:space="preserve">of health and health related functions</w:t>
            </w:r>
            <w:r>
              <w:rPr>
                <w:rStyle w:val="row-content-rich-text"/>
              </w:rPr>
              <w:t xml:space="preserve"> data elements.</w:t>
            </w:r>
          </w:p>
          <w:p>
            <w:pPr>
              <w:spacing w:after="160"/>
            </w:pPr>
            <w:r>
              <w:rPr>
                <w:rStyle w:val="row-content-rich-text"/>
                <w:i/>
              </w:rPr>
              <w:t xml:space="preserve">Health industry relevant organisation type</w:t>
            </w:r>
          </w:p>
          <w:p>
            <w:pPr>
              <w:spacing w:after="160"/>
            </w:pPr>
            <w:r>
              <w:rPr>
                <w:rStyle w:val="row-content-rich-text"/>
              </w:rPr>
              <w:t xml:space="preserve">State and territory health authorities are </w:t>
            </w:r>
            <w:r>
              <w:rPr>
                <w:rStyle w:val="row-content-rich-text"/>
                <w:b/>
                <w:u w:val="single"/>
              </w:rPr>
              <w:t xml:space="preserve">NOT</w:t>
            </w:r>
            <w:r>
              <w:rPr>
                <w:rStyle w:val="row-content-rich-text"/>
              </w:rPr>
              <w:t xml:space="preserve"> to report the following codes:</w:t>
            </w:r>
          </w:p>
          <w:p>
            <w:pPr>
              <w:spacing w:after="160"/>
            </w:pPr>
            <w:r>
              <w:rPr>
                <w:rStyle w:val="row-content-rich-text"/>
              </w:rPr>
              <w:t xml:space="preserve">Codes 106–109; 111; 115–119; 123; 201 and 203</w:t>
            </w:r>
          </w:p>
          <w:p>
            <w:pPr>
              <w:spacing w:after="160"/>
            </w:pPr>
            <w:r>
              <w:rPr>
                <w:rStyle w:val="row-content-rich-text"/>
                <w:i/>
              </w:rPr>
              <w:t xml:space="preserve">Type of health and health related functions</w:t>
            </w:r>
          </w:p>
          <w:p>
            <w:pPr>
              <w:spacing w:after="160"/>
            </w:pPr>
            <w:r>
              <w:rPr>
                <w:rStyle w:val="row-content-rich-text"/>
              </w:rPr>
              <w:t xml:space="preserve">State and territory health authorities are </w:t>
            </w:r>
            <w:r>
              <w:rPr>
                <w:rStyle w:val="row-content-rich-text"/>
                <w:b/>
                <w:u w:val="single"/>
              </w:rPr>
              <w:t xml:space="preserve">NOT</w:t>
            </w:r>
            <w:r>
              <w:rPr>
                <w:rStyle w:val="row-content-rich-text"/>
              </w:rPr>
              <w:t xml:space="preserve"> to report the following codes:</w:t>
            </w:r>
          </w:p>
          <w:p>
            <w:pPr/>
            <w:r>
              <w:rPr>
                <w:rStyle w:val="row-content-rich-text"/>
              </w:rPr>
              <w:t xml:space="preserve">Codes 199; 299; 303–305; 307; 499; 503–504; 599; 601–603; 688; 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accounting terms, expenses are consumptions or losses of future economic benefits in the form of reductions in assets or increases in liabilities of the entity (other than those relating to distributions to owners) that result in a decrease in equity or net worth during the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Government Finance Statistics 1998, Cat. No. 5514.0.</w:t>
            </w:r>
          </w:p>
          <w:p>
            <w:pPr>
              <w:spacing w:after="160"/>
            </w:pPr>
            <w:r>
              <w:rPr>
                <w:rStyle w:val="row-content-rich-text"/>
              </w:rPr>
              <w:t xml:space="preserve">Australian Bureau of Statistics 2006. Australian System of Government Finance Statistics: Concepts, sources and methods, 2005. Cat. no. 5514.0.55.001 Canberra: ABS.</w:t>
            </w:r>
          </w:p>
          <w:p>
            <w:pPr/>
            <w:r>
              <w:rPr>
                <w:rStyle w:val="row-content-rich-text"/>
              </w:rPr>
              <w:t xml:space="preserve">Australian Accounting Standards Board 1049, September 2006, reference: </w:t>
            </w:r>
            <w:hyperlink w:history="true" r:id="R66f89b664ada411f">
              <w:r>
                <w:rPr>
                  <w:rStyle w:val="Hyperlink"/>
                </w:rPr>
                <w:t xml:space="preserve">http://www.aasb.com.au/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aab1fd8ab64ebd">
              <w:r>
                <w:rPr>
                  <w:rStyle w:val="Hyperlink"/>
                </w:rPr>
                <w:t xml:space="preserve">Organisation—expenses, total millions of Australian currency NNNNN.N</w:t>
              </w:r>
            </w:hyperlink>
          </w:p>
          <w:p>
            <w:pPr>
              <w:spacing w:before="0" w:after="0"/>
            </w:pPr>
            <w:r>
              <w:rPr>
                <w:rStyle w:val="row-content"/>
                <w:color w:val="244061"/>
              </w:rPr>
              <w:t xml:space="preserve">       </w:t>
            </w:r>
            <w:hyperlink w:history="true" r:id="R29ec9b86a3e94d7e">
              <w:r>
                <w:rPr>
                  <w:rStyle w:val="Hyperlink"/>
                  <w:color w:val="244061"/>
                </w:rPr>
                <w:t xml:space="preserve">Health</w:t>
              </w:r>
            </w:hyperlink>
            <w:r>
              <w:rPr>
                <w:rStyle w:val="row-content"/>
                <w:color w:val="244061"/>
              </w:rPr>
              <w:t xml:space="preserve">, Recorded 17/04/2024</w:t>
            </w:r>
          </w:p>
          <w:p>
            <w:r>
              <w:br/>
            </w:r>
            <w:r>
              <w:rPr>
                <w:rStyle w:val="row-content"/>
              </w:rPr>
              <w:t xml:space="preserve">Is formed using </w:t>
            </w:r>
            <w:hyperlink w:history="true" r:id="R3555e71f2fb44f88">
              <w:r>
                <w:rPr>
                  <w:rStyle w:val="Hyperlink"/>
                </w:rPr>
                <w:t xml:space="preserve">Organisation—capital consumption expenses, total Australian currency NNNNN.N</w:t>
              </w:r>
            </w:hyperlink>
          </w:p>
          <w:p>
            <w:pPr>
              <w:spacing w:before="0" w:after="0"/>
            </w:pPr>
            <w:r>
              <w:rPr>
                <w:rStyle w:val="row-content"/>
                <w:color w:val="244061"/>
              </w:rPr>
              <w:t xml:space="preserve">       </w:t>
            </w:r>
            <w:hyperlink w:history="true" r:id="R0b74b112ab57413c">
              <w:r>
                <w:rPr>
                  <w:rStyle w:val="Hyperlink"/>
                  <w:color w:val="244061"/>
                </w:rPr>
                <w:t xml:space="preserve">Health</w:t>
              </w:r>
            </w:hyperlink>
            <w:r>
              <w:rPr>
                <w:rStyle w:val="row-content"/>
                <w:color w:val="244061"/>
              </w:rPr>
              <w:t xml:space="preserve">, Standard 01/04/2009</w:t>
            </w:r>
          </w:p>
          <w:p>
            <w:r>
              <w:br/>
            </w:r>
            <w:r>
              <w:rPr>
                <w:rStyle w:val="row-content"/>
              </w:rPr>
              <w:t xml:space="preserve">Is formed using </w:t>
            </w:r>
            <w:hyperlink w:history="true" r:id="R764cd54f3088409a">
              <w:r>
                <w:rPr>
                  <w:rStyle w:val="Hyperlink"/>
                </w:rPr>
                <w:t xml:space="preserve">Organisation—employee related expenses, total Australian currency NNNNN.N</w:t>
              </w:r>
            </w:hyperlink>
          </w:p>
          <w:p>
            <w:pPr>
              <w:spacing w:before="0" w:after="0"/>
            </w:pPr>
            <w:r>
              <w:rPr>
                <w:rStyle w:val="row-content"/>
                <w:color w:val="244061"/>
              </w:rPr>
              <w:t xml:space="preserve">       </w:t>
            </w:r>
            <w:hyperlink w:history="true" r:id="R62d7684792ee427f">
              <w:r>
                <w:rPr>
                  <w:rStyle w:val="Hyperlink"/>
                  <w:color w:val="244061"/>
                </w:rPr>
                <w:t xml:space="preserve">Health</w:t>
              </w:r>
            </w:hyperlink>
            <w:r>
              <w:rPr>
                <w:rStyle w:val="row-content"/>
                <w:color w:val="244061"/>
              </w:rPr>
              <w:t xml:space="preserve">, Standard 05/12/2007</w:t>
            </w:r>
          </w:p>
          <w:p>
            <w:r>
              <w:br/>
            </w:r>
            <w:r>
              <w:rPr>
                <w:rStyle w:val="row-content"/>
              </w:rPr>
              <w:t xml:space="preserve">Is formed using </w:t>
            </w:r>
            <w:hyperlink w:history="true" r:id="R4ec2aae6a3594191">
              <w:r>
                <w:rPr>
                  <w:rStyle w:val="Hyperlink"/>
                </w:rPr>
                <w:t xml:space="preserve">Organisation—purchase of goods and services, total Australian currency NNNNN.N</w:t>
              </w:r>
            </w:hyperlink>
          </w:p>
          <w:p>
            <w:pPr>
              <w:spacing w:before="0" w:after="0"/>
            </w:pPr>
            <w:r>
              <w:rPr>
                <w:rStyle w:val="row-content"/>
                <w:color w:val="244061"/>
              </w:rPr>
              <w:t xml:space="preserve">       </w:t>
            </w:r>
            <w:hyperlink w:history="true" r:id="R4d4b9289af284826">
              <w:r>
                <w:rPr>
                  <w:rStyle w:val="Hyperlink"/>
                  <w:color w:val="244061"/>
                </w:rPr>
                <w:t xml:space="preserve">Health</w:t>
              </w:r>
            </w:hyperlink>
            <w:r>
              <w:rPr>
                <w:rStyle w:val="row-content"/>
                <w:color w:val="244061"/>
              </w:rPr>
              <w:t xml:space="preserve">, Standard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decfca2123480e">
              <w:r>
                <w:rPr>
                  <w:rStyle w:val="Hyperlink"/>
                </w:rPr>
                <w:t xml:space="preserve">Government health expenditure organisation expenditure data cluster</w:t>
              </w:r>
            </w:hyperlink>
          </w:p>
          <w:p>
            <w:pPr>
              <w:spacing w:before="0" w:after="0"/>
            </w:pPr>
            <w:r>
              <w:rPr>
                <w:rStyle w:val="row-content"/>
                <w:color w:val="244061"/>
              </w:rPr>
              <w:t xml:space="preserve">       </w:t>
            </w:r>
            <w:hyperlink w:history="true" r:id="Rc348556444834768">
              <w:r>
                <w:rPr>
                  <w:rStyle w:val="Hyperlink"/>
                  <w:color w:val="244061"/>
                </w:rPr>
                <w:t xml:space="preserve">Health</w:t>
              </w:r>
            </w:hyperlink>
            <w:r>
              <w:rPr>
                <w:rStyle w:val="row-content"/>
                <w:color w:val="244061"/>
              </w:rPr>
              <w:t xml:space="preserve">, Superseded 01/04/2009</w:t>
            </w:r>
          </w:p>
          <w:p>
            <w:r>
              <w:br/>
            </w:r>
            <w:hyperlink w:history="true" r:id="Ra41f4203463c47d5">
              <w:r>
                <w:rPr>
                  <w:rStyle w:val="Hyperlink"/>
                </w:rPr>
                <w:t xml:space="preserve">Government health expenditure organisation expenditure data element cluster</w:t>
              </w:r>
            </w:hyperlink>
          </w:p>
          <w:p>
            <w:pPr>
              <w:spacing w:before="0" w:after="0"/>
            </w:pPr>
            <w:r>
              <w:rPr>
                <w:rStyle w:val="row-content"/>
                <w:color w:val="244061"/>
              </w:rPr>
              <w:t xml:space="preserve">       </w:t>
            </w:r>
            <w:hyperlink w:history="true" r:id="R18d0aa1db7054164">
              <w:r>
                <w:rPr>
                  <w:rStyle w:val="Hyperlink"/>
                  <w:color w:val="244061"/>
                </w:rPr>
                <w:t xml:space="preserve">Health</w:t>
              </w:r>
            </w:hyperlink>
            <w:r>
              <w:rPr>
                <w:rStyle w:val="row-content"/>
                <w:color w:val="244061"/>
              </w:rPr>
              <w:t xml:space="preserve">, Superseded 04/12/2013</w:t>
            </w:r>
          </w:p>
          <w:p>
            <w:r>
              <w:br/>
            </w:r>
            <w:hyperlink w:history="true" r:id="Rb2dbc0fbf5bb4e09">
              <w:r>
                <w:rPr>
                  <w:rStyle w:val="Hyperlink"/>
                </w:rPr>
                <w:t xml:space="preserve">Government health expenditure organisation expenditure data element cluster</w:t>
              </w:r>
            </w:hyperlink>
          </w:p>
          <w:p>
            <w:pPr>
              <w:spacing w:before="0" w:after="0"/>
            </w:pPr>
            <w:r>
              <w:rPr>
                <w:rStyle w:val="row-content"/>
                <w:color w:val="244061"/>
              </w:rPr>
              <w:t xml:space="preserve">       </w:t>
            </w:r>
            <w:hyperlink w:history="true" r:id="R30b27a42dd3741d6">
              <w:r>
                <w:rPr>
                  <w:rStyle w:val="Hyperlink"/>
                  <w:color w:val="244061"/>
                </w:rPr>
                <w:t xml:space="preserve">Health</w:t>
              </w:r>
            </w:hyperlink>
            <w:r>
              <w:rPr>
                <w:rStyle w:val="row-content"/>
                <w:color w:val="244061"/>
              </w:rPr>
              <w:t xml:space="preserve">, Standard 04/12/2013</w:t>
            </w:r>
          </w:p>
          <w:p>
            <w:r>
              <w:br/>
            </w:r>
          </w:p>
        </w:tc>
      </w:tr>
    </w:tbl>
    <w:p/>
    <w:tbl>
      <w:tblPr>
        <w:tblStyle w:val="TableGrid"/>
        <w:tblW w:w="0" w:type="auto"/>
      </w:tblPr>
    </w:tbl>
    <w:p>
      <w:r>
        <w:br/>
      </w:r>
    </w:p>
    <w:sectPr>
      <w:footerReference xmlns:r="http://schemas.openxmlformats.org/officeDocument/2006/relationships" w:type="default" r:id="Rc5f1c938c6c543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359963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91defd2ed94a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f1c938c6c543a3" /><Relationship Type="http://schemas.openxmlformats.org/officeDocument/2006/relationships/header" Target="/word/header1.xml" Id="Ra06f830a98b04419" /><Relationship Type="http://schemas.openxmlformats.org/officeDocument/2006/relationships/settings" Target="/word/settings.xml" Id="R5d79c81a61d6491a" /><Relationship Type="http://schemas.openxmlformats.org/officeDocument/2006/relationships/styles" Target="/word/styles.xml" Id="R45abf2696eae448c" /><Relationship Type="http://schemas.openxmlformats.org/officeDocument/2006/relationships/hyperlink" Target="https://meteor.aihw.gov.au/RegistrationAuthority/12" TargetMode="External" Id="R06dba00fc8564d84" /><Relationship Type="http://schemas.openxmlformats.org/officeDocument/2006/relationships/hyperlink" Target="https://meteor.aihw.gov.au/content/352468" TargetMode="External" Id="R445053aa47144064" /><Relationship Type="http://schemas.openxmlformats.org/officeDocument/2006/relationships/hyperlink" Target="https://meteor.aihw.gov.au/content/357602" TargetMode="External" Id="Rd3724c04dbf64e77" /><Relationship Type="http://schemas.openxmlformats.org/officeDocument/2006/relationships/numbering" Target="/word/numbering.xml" Id="R4897493104c94ec2" /><Relationship Type="http://schemas.openxmlformats.org/officeDocument/2006/relationships/hyperlink" Target="http://www.aasb.com.au/" TargetMode="External" Id="R66f89b664ada411f" /><Relationship Type="http://schemas.openxmlformats.org/officeDocument/2006/relationships/hyperlink" Target="https://meteor.aihw.gov.au/content/791795" TargetMode="External" Id="R5daab1fd8ab64ebd" /><Relationship Type="http://schemas.openxmlformats.org/officeDocument/2006/relationships/hyperlink" Target="https://meteor.aihw.gov.au/RegistrationAuthority/12" TargetMode="External" Id="R29ec9b86a3e94d7e" /><Relationship Type="http://schemas.openxmlformats.org/officeDocument/2006/relationships/hyperlink" Target="https://meteor.aihw.gov.au/content/376399" TargetMode="External" Id="R3555e71f2fb44f88" /><Relationship Type="http://schemas.openxmlformats.org/officeDocument/2006/relationships/hyperlink" Target="https://meteor.aihw.gov.au/RegistrationAuthority/12" TargetMode="External" Id="R0b74b112ab57413c" /><Relationship Type="http://schemas.openxmlformats.org/officeDocument/2006/relationships/hyperlink" Target="https://meteor.aihw.gov.au/content/359947" TargetMode="External" Id="R764cd54f3088409a" /><Relationship Type="http://schemas.openxmlformats.org/officeDocument/2006/relationships/hyperlink" Target="https://meteor.aihw.gov.au/RegistrationAuthority/12" TargetMode="External" Id="R62d7684792ee427f" /><Relationship Type="http://schemas.openxmlformats.org/officeDocument/2006/relationships/hyperlink" Target="https://meteor.aihw.gov.au/content/359935" TargetMode="External" Id="R4ec2aae6a3594191" /><Relationship Type="http://schemas.openxmlformats.org/officeDocument/2006/relationships/hyperlink" Target="https://meteor.aihw.gov.au/RegistrationAuthority/12" TargetMode="External" Id="R4d4b9289af284826" /><Relationship Type="http://schemas.openxmlformats.org/officeDocument/2006/relationships/hyperlink" Target="https://meteor.aihw.gov.au/content/352473" TargetMode="External" Id="R34decfca2123480e" /><Relationship Type="http://schemas.openxmlformats.org/officeDocument/2006/relationships/hyperlink" Target="https://meteor.aihw.gov.au/RegistrationAuthority/12" TargetMode="External" Id="Rc348556444834768" /><Relationship Type="http://schemas.openxmlformats.org/officeDocument/2006/relationships/hyperlink" Target="https://meteor.aihw.gov.au/content/376888" TargetMode="External" Id="Ra41f4203463c47d5" /><Relationship Type="http://schemas.openxmlformats.org/officeDocument/2006/relationships/hyperlink" Target="https://meteor.aihw.gov.au/RegistrationAuthority/12" TargetMode="External" Id="R18d0aa1db7054164" /><Relationship Type="http://schemas.openxmlformats.org/officeDocument/2006/relationships/hyperlink" Target="https://meteor.aihw.gov.au/content/541951" TargetMode="External" Id="Rb2dbc0fbf5bb4e09" /><Relationship Type="http://schemas.openxmlformats.org/officeDocument/2006/relationships/hyperlink" Target="https://meteor.aihw.gov.au/RegistrationAuthority/12" TargetMode="External" Id="R30b27a42dd3741d6" /></Relationships>
</file>

<file path=word/_rels/header1.xml.rels>&#65279;<?xml version="1.0" encoding="utf-8"?><Relationships xmlns="http://schemas.openxmlformats.org/package/2006/relationships"><Relationship Type="http://schemas.openxmlformats.org/officeDocument/2006/relationships/image" Target="/media/image.png" Id="R4b91defd2ed94a7e" /></Relationships>
</file>