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9fc290c4ff4da2" /></Relationships>
</file>

<file path=word/document.xml><?xml version="1.0" encoding="utf-8"?>
<w:document xmlns:r="http://schemas.openxmlformats.org/officeDocument/2006/relationships" xmlns:w="http://schemas.openxmlformats.org/wordprocessingml/2006/main">
  <w:body>
    <w:p>
      <w:pPr>
        <w:pStyle w:val="Title"/>
      </w:pPr>
      <w:r>
        <w:t>Person—triglyceride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Triglyceride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56fea637a46c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7328ec470427c">
              <w:r>
                <w:rPr>
                  <w:rStyle w:val="Hyperlink"/>
                </w:rPr>
                <w:t xml:space="preserve">Person—triglyceride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699cdc15ab4be9">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absolute result of the total triglyceride measurement.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spacing w:after="160"/>
            </w:pPr>
            <w:r>
              <w:rPr>
                <w:rStyle w:val="row-content-rich-text"/>
              </w:rPr>
              <w:t xml:space="preserve">Note that to calculate the low-density lipoprotein - cholesterol (LDL-C) from the Friedwald Equation (Friedwald et al, 1972):</w:t>
            </w:r>
          </w:p>
          <w:p>
            <w:pPr>
              <w:pStyle w:val="ListParagraph"/>
              <w:numPr>
                <w:ilvl w:val="0"/>
                <w:numId w:val="3"/>
              </w:numPr>
            </w:pPr>
            <w:r>
              <w:rPr>
                <w:rStyle w:val="row-content-rich-text"/>
              </w:rPr>
              <w:t xml:space="preserve">a fasting level of plasma triglyceride and knowledge of the levels of plasma total cholesterol and high-density lipoprotein - cholesterol (HDL-C) is required,</w:t>
            </w:r>
          </w:p>
          <w:p>
            <w:pPr>
              <w:pStyle w:val="ListParagraph"/>
              <w:numPr>
                <w:ilvl w:val="0"/>
                <w:numId w:val="3"/>
              </w:numPr>
            </w:pPr>
            <w:r>
              <w:rPr>
                <w:rStyle w:val="row-content-rich-text"/>
              </w:rPr>
              <w:t xml:space="preserve">the Friedwald equation becomes unreliable when the plasma triglyceride exceeds 4.5 mmol/L, and</w:t>
            </w:r>
          </w:p>
          <w:p>
            <w:pPr>
              <w:pStyle w:val="ListParagraph"/>
              <w:numPr>
                <w:ilvl w:val="0"/>
                <w:numId w:val="3"/>
              </w:numPr>
            </w:pPr>
            <w:r>
              <w:rPr>
                <w:rStyle w:val="row-content-rich-text"/>
              </w:rPr>
              <w:t xml:space="preserve">that while levels are reliable for the first 24 hours after the onset of acute coronary syndromes, they may be unreliable for the subsequent 8 weeks after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d11b93b37e4134">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00099910c2e0406a">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3c858fe3b045bc">
              <w:r>
                <w:rPr>
                  <w:rStyle w:val="Hyperlink"/>
                </w:rPr>
                <w:t xml:space="preserve">Acute coronary syndrome (clinical) DSS</w:t>
              </w:r>
            </w:hyperlink>
          </w:p>
          <w:p>
            <w:pPr>
              <w:spacing w:before="0" w:after="0"/>
            </w:pPr>
            <w:r>
              <w:rPr>
                <w:rStyle w:val="row-content"/>
                <w:color w:val="244061"/>
              </w:rPr>
              <w:t xml:space="preserve">       </w:t>
            </w:r>
            <w:hyperlink w:history="true" r:id="Rfef518eb120f4fe6">
              <w:r>
                <w:rPr>
                  <w:rStyle w:val="Hyperlink"/>
                  <w:color w:val="244061"/>
                </w:rPr>
                <w:t xml:space="preserve">Health</w:t>
              </w:r>
            </w:hyperlink>
            <w:r>
              <w:rPr>
                <w:rStyle w:val="row-content"/>
                <w:color w:val="244061"/>
              </w:rPr>
              <w:t xml:space="preserve">, Superseded 01/09/2012</w:t>
            </w:r>
          </w:p>
          <w:p>
            <w:r>
              <w:br/>
            </w:r>
            <w:hyperlink w:history="true" r:id="R54d0f357840f486b">
              <w:r>
                <w:rPr>
                  <w:rStyle w:val="Hyperlink"/>
                </w:rPr>
                <w:t xml:space="preserve">Acute coronary syndrome (clinical) DSS</w:t>
              </w:r>
            </w:hyperlink>
          </w:p>
          <w:p>
            <w:pPr>
              <w:spacing w:before="0" w:after="0"/>
            </w:pPr>
            <w:r>
              <w:rPr>
                <w:rStyle w:val="row-content"/>
                <w:color w:val="244061"/>
              </w:rPr>
              <w:t xml:space="preserve">       </w:t>
            </w:r>
            <w:hyperlink w:history="true" r:id="Ra0f039b7089c42ba">
              <w:r>
                <w:rPr>
                  <w:rStyle w:val="Hyperlink"/>
                  <w:color w:val="244061"/>
                </w:rPr>
                <w:t xml:space="preserve">Health</w:t>
              </w:r>
            </w:hyperlink>
            <w:r>
              <w:rPr>
                <w:rStyle w:val="row-content"/>
                <w:color w:val="244061"/>
              </w:rPr>
              <w:t xml:space="preserve">, Superseded 02/05/2013</w:t>
            </w:r>
          </w:p>
          <w:p>
            <w:r>
              <w:br/>
            </w:r>
            <w:hyperlink w:history="true" r:id="Rc8468270a43444ed">
              <w:r>
                <w:rPr>
                  <w:rStyle w:val="Hyperlink"/>
                </w:rPr>
                <w:t xml:space="preserve">Acute coronary syndrome (clinical) NBPDS 2013-</w:t>
              </w:r>
            </w:hyperlink>
          </w:p>
          <w:p>
            <w:pPr>
              <w:spacing w:before="0" w:after="0"/>
            </w:pPr>
            <w:r>
              <w:rPr>
                <w:rStyle w:val="row-content"/>
                <w:color w:val="244061"/>
              </w:rPr>
              <w:t xml:space="preserve">       </w:t>
            </w:r>
            <w:hyperlink w:history="true" r:id="R4a89fab33ef645b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058f9da1f6d54c59">
              <w:r>
                <w:rPr>
                  <w:rStyle w:val="Hyperlink"/>
                </w:rPr>
                <w:t xml:space="preserve">Cardiovascular disease (clinical) DSS</w:t>
              </w:r>
            </w:hyperlink>
          </w:p>
          <w:p>
            <w:pPr>
              <w:spacing w:before="0" w:after="0"/>
            </w:pPr>
            <w:r>
              <w:rPr>
                <w:rStyle w:val="row-content"/>
                <w:color w:val="244061"/>
              </w:rPr>
              <w:t xml:space="preserve">       </w:t>
            </w:r>
            <w:hyperlink w:history="true" r:id="R42dddb6dd7d94751">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4"/>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4"/>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d592de5fb3784a0f">
              <w:r>
                <w:rPr>
                  <w:rStyle w:val="Hyperlink"/>
                </w:rPr>
                <w:t xml:space="preserve">Cardiovascular disease (clinical) NBPDS</w:t>
              </w:r>
            </w:hyperlink>
          </w:p>
          <w:p>
            <w:pPr>
              <w:spacing w:before="0" w:after="0"/>
            </w:pPr>
            <w:r>
              <w:rPr>
                <w:rStyle w:val="row-content"/>
                <w:color w:val="244061"/>
              </w:rPr>
              <w:t xml:space="preserve">       </w:t>
            </w:r>
            <w:hyperlink w:history="true" r:id="Rd54abfe765b4403b">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5"/>
              </w:numPr>
            </w:pPr>
            <w:r>
              <w:rPr>
                <w:rStyle w:val="row-content"/>
              </w:rPr>
              <w:t xml:space="preserve">an elevated concentration of plasma triglyceride (&gt; 2.0 mmol/L) is predictive of CHD when associated with either an increased concentration of LDL-C or a decreased concentration of HDL-C.</w:t>
            </w:r>
          </w:p>
          <w:p>
            <w:pPr>
              <w:pStyle w:val="ListParagraph"/>
              <w:numPr>
                <w:ilvl w:val="0"/>
                <w:numId w:val="5"/>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10e85761b6394908">
              <w:r>
                <w:rPr>
                  <w:rStyle w:val="Hyperlink"/>
                </w:rPr>
                <w:t xml:space="preserve">Cardiovascular disease (clinical) NBPDS </w:t>
              </w:r>
            </w:hyperlink>
          </w:p>
          <w:p>
            <w:pPr>
              <w:spacing w:before="0" w:after="0"/>
            </w:pPr>
            <w:r>
              <w:rPr>
                <w:rStyle w:val="row-content"/>
                <w:color w:val="244061"/>
              </w:rPr>
              <w:t xml:space="preserve">       </w:t>
            </w:r>
            <w:hyperlink w:history="true" r:id="R7712026b853543e0">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6"/>
              </w:numPr>
            </w:pPr>
            <w:r>
              <w:rPr>
                <w:rStyle w:val="row-content"/>
              </w:rPr>
              <w:t xml:space="preserve">an elevated concentration of plasma triglyceride (&gt; 2.0 mmol/L) is predictive of CHD when associated with either an increased concentration of LDL-C or a decreased concentration of HDL-C.</w:t>
            </w:r>
          </w:p>
          <w:p>
            <w:pPr>
              <w:pStyle w:val="ListParagraph"/>
              <w:numPr>
                <w:ilvl w:val="0"/>
                <w:numId w:val="6"/>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p>
        </w:tc>
      </w:tr>
    </w:tbl>
    <w:p/>
    <w:tbl>
      <w:tblPr>
        <w:tblStyle w:val="TableGrid"/>
        <w:tblW w:w="0" w:type="auto"/>
      </w:tblPr>
    </w:tbl>
    <w:p>
      <w:r>
        <w:br/>
      </w:r>
    </w:p>
    <w:sectPr>
      <w:footerReference xmlns:r="http://schemas.openxmlformats.org/officeDocument/2006/relationships" w:type="default" r:id="R1a5057073377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4ac7cac15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0570733774ee7" /><Relationship Type="http://schemas.openxmlformats.org/officeDocument/2006/relationships/header" Target="/word/header1.xml" Id="Rbf6b92f99e794b2d" /><Relationship Type="http://schemas.openxmlformats.org/officeDocument/2006/relationships/settings" Target="/word/settings.xml" Id="Rab032f581d614fb7" /><Relationship Type="http://schemas.openxmlformats.org/officeDocument/2006/relationships/styles" Target="/word/styles.xml" Id="R317216907f98432a" /><Relationship Type="http://schemas.openxmlformats.org/officeDocument/2006/relationships/hyperlink" Target="https://meteor.aihw.gov.au/RegistrationAuthority/12" TargetMode="External" Id="R2fa56fea637a46c8" /><Relationship Type="http://schemas.openxmlformats.org/officeDocument/2006/relationships/hyperlink" Target="https://meteor.aihw.gov.au/content/269684" TargetMode="External" Id="R3c67328ec470427c" /><Relationship Type="http://schemas.openxmlformats.org/officeDocument/2006/relationships/hyperlink" Target="https://meteor.aihw.gov.au/content/270785" TargetMode="External" Id="R2b699cdc15ab4be9" /><Relationship Type="http://schemas.openxmlformats.org/officeDocument/2006/relationships/numbering" Target="/word/numbering.xml" Id="Rb68c550b4b5e4bd4" /><Relationship Type="http://schemas.openxmlformats.org/officeDocument/2006/relationships/hyperlink" Target="https://meteor.aihw.gov.au/content/270229" TargetMode="External" Id="Rfdd11b93b37e4134" /><Relationship Type="http://schemas.openxmlformats.org/officeDocument/2006/relationships/hyperlink" Target="https://meteor.aihw.gov.au/RegistrationAuthority/12" TargetMode="External" Id="R00099910c2e0406a" /><Relationship Type="http://schemas.openxmlformats.org/officeDocument/2006/relationships/hyperlink" Target="https://meteor.aihw.gov.au/content/372930" TargetMode="External" Id="R133c858fe3b045bc" /><Relationship Type="http://schemas.openxmlformats.org/officeDocument/2006/relationships/hyperlink" Target="https://meteor.aihw.gov.au/RegistrationAuthority/12" TargetMode="External" Id="Rfef518eb120f4fe6" /><Relationship Type="http://schemas.openxmlformats.org/officeDocument/2006/relationships/hyperlink" Target="https://meteor.aihw.gov.au/content/482119" TargetMode="External" Id="R54d0f357840f486b" /><Relationship Type="http://schemas.openxmlformats.org/officeDocument/2006/relationships/hyperlink" Target="https://meteor.aihw.gov.au/RegistrationAuthority/12" TargetMode="External" Id="Ra0f039b7089c42ba" /><Relationship Type="http://schemas.openxmlformats.org/officeDocument/2006/relationships/hyperlink" Target="https://meteor.aihw.gov.au/content/523140" TargetMode="External" Id="Rc8468270a43444ed" /><Relationship Type="http://schemas.openxmlformats.org/officeDocument/2006/relationships/hyperlink" Target="https://meteor.aihw.gov.au/RegistrationAuthority/12" TargetMode="External" Id="R4a89fab33ef645ba" /><Relationship Type="http://schemas.openxmlformats.org/officeDocument/2006/relationships/hyperlink" Target="https://meteor.aihw.gov.au/content/374213" TargetMode="External" Id="R058f9da1f6d54c59" /><Relationship Type="http://schemas.openxmlformats.org/officeDocument/2006/relationships/hyperlink" Target="https://meteor.aihw.gov.au/RegistrationAuthority/12" TargetMode="External" Id="R42dddb6dd7d94751" /><Relationship Type="http://schemas.openxmlformats.org/officeDocument/2006/relationships/hyperlink" Target="https://meteor.aihw.gov.au/content/470731" TargetMode="External" Id="Rd592de5fb3784a0f" /><Relationship Type="http://schemas.openxmlformats.org/officeDocument/2006/relationships/hyperlink" Target="https://meteor.aihw.gov.au/RegistrationAuthority/12" TargetMode="External" Id="Rd54abfe765b4403b" /><Relationship Type="http://schemas.openxmlformats.org/officeDocument/2006/relationships/hyperlink" Target="https://meteor.aihw.gov.au/content/697668" TargetMode="External" Id="R10e85761b6394908" /><Relationship Type="http://schemas.openxmlformats.org/officeDocument/2006/relationships/hyperlink" Target="https://meteor.aihw.gov.au/RegistrationAuthority/12" TargetMode="External" Id="R7712026b853543e0" /></Relationships>
</file>

<file path=word/_rels/header1.xml.rels>&#65279;<?xml version="1.0" encoding="utf-8"?><Relationships xmlns="http://schemas.openxmlformats.org/package/2006/relationships"><Relationship Type="http://schemas.openxmlformats.org/officeDocument/2006/relationships/image" Target="/media/image.png" Id="R60a4ac7cac15433e" /></Relationships>
</file>