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c8080c5d5f4ec8" /></Relationships>
</file>

<file path=word/document.xml><?xml version="1.0" encoding="utf-8"?>
<w:document xmlns:r="http://schemas.openxmlformats.org/officeDocument/2006/relationships" xmlns:w="http://schemas.openxmlformats.org/wordprocessingml/2006/main">
  <w:body>
    <w:p>
      <w:pPr>
        <w:pStyle w:val="Title"/>
      </w:pPr>
      <w:r>
        <w:t>Organisation—revenue, total Australian currency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Organisation—revenue,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revenues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7ef6bc1ea140bb">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Revenues of an organisation relating to </w:t>
            </w:r>
            <w:hyperlink w:tooltip="Patient revenue comprises all revenue received by, and due to, an establishment in respect of individual patient liability for accommodation and other establishment charges. All patient revenue is to be grouped together regardless of source of payment ..." w:history="true" r:id="Rcf99ca30f8304024">
              <w:r>
                <w:rPr>
                  <w:rStyle w:val="Hyperlink"/>
                  <w:b/>
                </w:rPr>
                <w:t xml:space="preserve">patient fees</w:t>
              </w:r>
            </w:hyperlink>
            <w:r>
              <w:rPr>
                <w:rStyle w:val="row-content-rich-text"/>
              </w:rPr>
              <w:t xml:space="preserve">, </w:t>
            </w:r>
            <w:hyperlink w:tooltip="All revenue received that is in the nature of a recovery of expenditure incurred. This would include:&#10;income received from the provision of meals and accommodation to members of staff of the hospital (assuming it is possible to separate this from inc..." w:history="true" r:id="R270afb77202f40fb">
              <w:r>
                <w:rPr>
                  <w:rStyle w:val="Hyperlink"/>
                  <w:b/>
                </w:rPr>
                <w:t xml:space="preserve">recoveries</w:t>
              </w:r>
            </w:hyperlink>
            <w:r>
              <w:rPr>
                <w:rStyle w:val="row-content-rich-text"/>
              </w:rPr>
              <w:t xml:space="preserve">, and </w:t>
            </w:r>
          </w:p>
          <w:p>
            <w:hyperlink w:tooltip="All other revenue received by the establishment that is not included under patient revenue or recoveries (but not including revenue payments received from state or territory governments). This would include revenue such as investment income from tempor..." w:history="true" r:id="Re26e39a3f5ea42f1">
              <w:r>
                <w:rPr>
                  <w:rStyle w:val="Hyperlink"/>
                  <w:b/>
                </w:rPr>
                <w:t xml:space="preserve">other revenue </w:t>
              </w:r>
            </w:hyperlink>
            <w:r>
              <w:rPr>
                <w:rStyle w:val="row-content-rich-text"/>
              </w:rPr>
              <w:t xml:space="preserve">in Australian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7cf285760c4c91">
              <w:r>
                <w:rPr>
                  <w:rStyle w:val="Hyperlink"/>
                </w:rPr>
                <w:t xml:space="preserve">Organisation—revenue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1ba9a801554283">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Revenues are to be reported in millions to the nearest 100,000 e.g. $4,064,000 should be reported as $4.1 million.</w:t>
            </w:r>
          </w:p>
          <w:p>
            <w:pPr>
              <w:spacing w:after="160"/>
            </w:pPr>
            <w:r>
              <w:rPr>
                <w:rStyle w:val="row-content-rich-text"/>
              </w:rPr>
              <w:t xml:space="preserve">Revenue arises from:</w:t>
            </w:r>
          </w:p>
          <w:p>
            <w:pPr>
              <w:pStyle w:val="ListParagraph"/>
              <w:numPr>
                <w:ilvl w:val="0"/>
                <w:numId w:val="2"/>
              </w:numPr>
            </w:pPr>
            <w:r>
              <w:rPr>
                <w:rStyle w:val="row-content-rich-text"/>
              </w:rPr>
              <w:t xml:space="preserve">the sale of goods, </w:t>
            </w:r>
          </w:p>
          <w:p>
            <w:pPr>
              <w:pStyle w:val="ListParagraph"/>
              <w:numPr>
                <w:ilvl w:val="0"/>
                <w:numId w:val="2"/>
              </w:numPr>
            </w:pPr>
            <w:r>
              <w:rPr>
                <w:rStyle w:val="row-content-rich-text"/>
              </w:rPr>
              <w:t xml:space="preserve">the rendering of services, and </w:t>
            </w:r>
          </w:p>
          <w:p>
            <w:pPr>
              <w:pStyle w:val="ListParagraph"/>
              <w:numPr>
                <w:ilvl w:val="0"/>
                <w:numId w:val="2"/>
              </w:numPr>
            </w:pPr>
            <w:r>
              <w:rPr>
                <w:rStyle w:val="row-content-rich-text"/>
              </w:rPr>
              <w:t xml:space="preserve">the use by others of entity assets yielding interest, royalties and dividends.</w:t>
            </w:r>
          </w:p>
          <w:p>
            <w:pPr>
              <w:spacing w:after="160"/>
            </w:pPr>
            <w:r>
              <w:rPr>
                <w:rStyle w:val="row-content-rich-text"/>
              </w:rPr>
              <w:t xml:space="preserve">Goods includes goods produced by the entity for the purpose of sale and goods purchased for resale, such as merchandise purchased by a retailer or land and other property held for resale.</w:t>
            </w:r>
          </w:p>
          <w:p>
            <w:pPr>
              <w:spacing w:after="160"/>
            </w:pPr>
            <w:r>
              <w:rPr>
                <w:rStyle w:val="row-content-rich-text"/>
              </w:rPr>
              <w:t xml:space="preserve">The rendering of services typically involves the performance by the entity of a contractually agreed task over an agreed period of time. The services may be rendered within a single period or over more than one period. Some contracts for the rendering of services are directly related to construction contracts, for example, those for the services of project managers and architects. Revenue arising from these contracts is not dealt with in this Standard but is dealt with in accordance with the requirements for construction contracts as specified in AASB 111 Construction Contracts.</w:t>
            </w:r>
          </w:p>
          <w:p>
            <w:pPr>
              <w:spacing w:after="160"/>
            </w:pPr>
            <w:r>
              <w:rPr>
                <w:rStyle w:val="row-content-rich-text"/>
              </w:rPr>
              <w:t xml:space="preserve">The use by others of entity assets gives rise to revenue in the form of:</w:t>
            </w:r>
          </w:p>
          <w:p>
            <w:pPr>
              <w:spacing w:after="160"/>
            </w:pPr>
            <w:r>
              <w:rPr>
                <w:rStyle w:val="row-content-rich-text"/>
              </w:rPr>
              <w:t xml:space="preserve">(a) interest – charges for the use of cash or cash equivalents or amounts due to the entity;</w:t>
            </w:r>
          </w:p>
          <w:p>
            <w:pPr>
              <w:spacing w:after="160"/>
            </w:pPr>
            <w:r>
              <w:rPr>
                <w:rStyle w:val="row-content-rich-text"/>
              </w:rPr>
              <w:t xml:space="preserve">(b) royalties – charges for the use of long-term assets of the entity, for example, patents, trademarks, copyrights and computer software; and</w:t>
            </w:r>
          </w:p>
          <w:p>
            <w:pPr>
              <w:spacing w:after="160"/>
            </w:pPr>
            <w:r>
              <w:rPr>
                <w:rStyle w:val="row-content-rich-text"/>
              </w:rPr>
              <w:t xml:space="preserve">(c) dividends – distributions of profits to holders of equity investments in proportion to their holdings of a particular class of capital.</w:t>
            </w:r>
          </w:p>
          <w:p>
            <w:pPr>
              <w:spacing w:after="160"/>
            </w:pPr>
            <w:r>
              <w:rPr>
                <w:rStyle w:val="row-content-rich-text"/>
              </w:rPr>
              <w:t xml:space="preserve">Revenue is the gross inflow of economic benefits during the period arising in the course of the ordinary activities of an entity when those inflows result in increases in equity, other than increases relating to contributions from equity participants.</w:t>
            </w:r>
          </w:p>
          <w:p>
            <w:pPr>
              <w:spacing w:after="160"/>
            </w:pPr>
            <w:r>
              <w:rPr>
                <w:rStyle w:val="row-content-rich-text"/>
              </w:rPr>
              <w:t xml:space="preserve">Revenue includes only the gross inflows of economic benefits received and receivable by the entity on its own account.</w:t>
            </w:r>
          </w:p>
          <w:p>
            <w:pPr/>
            <w:r>
              <w:rPr>
                <w:rStyle w:val="row-content-rich-text"/>
              </w:rPr>
              <w:t xml:space="preserve">Amounts collected on behalf of third parties such as sales taxes, goods and services taxes and value added taxes are not economic benefits which flow to the entity and do not result in increases in equity. Therefore, they are excluded from revenue. Similarly, in an agency relationship, the gross inflows of economic benefits include amounts collected on behalf of the principal and which do not result in increases in equity for the entity. The amounts collected on behalf of the principal are not revenue.  Instead, revenue is the amount of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Revenues are to be reported for the </w:t>
            </w:r>
            <w:r>
              <w:rPr>
                <w:rStyle w:val="row-content-rich-text"/>
                <w:i/>
              </w:rPr>
              <w:t xml:space="preserve">Source of public and private revenue</w:t>
            </w:r>
            <w:r>
              <w:rPr>
                <w:rStyle w:val="row-content-rich-text"/>
              </w:rPr>
              <w:t xml:space="preserve"> and </w:t>
            </w:r>
            <w:r>
              <w:rPr>
                <w:rStyle w:val="row-content-rich-text"/>
                <w:i/>
              </w:rPr>
              <w:t xml:space="preserve">Health industry relevant organisation type</w:t>
            </w:r>
            <w:r>
              <w:rPr>
                <w:rStyle w:val="row-content-rich-text"/>
              </w:rPr>
              <w:t xml:space="preserve"> data elements.</w:t>
            </w:r>
          </w:p>
          <w:p>
            <w:pPr>
              <w:spacing w:after="160"/>
            </w:pPr>
            <w:r>
              <w:rPr>
                <w:rStyle w:val="row-content-rich-text"/>
                <w:i/>
              </w:rPr>
              <w:t xml:space="preserve">Source of public and private revenue</w:t>
            </w:r>
          </w:p>
          <w:p>
            <w:pPr>
              <w:spacing w:after="160"/>
            </w:pPr>
            <w:r>
              <w:rPr>
                <w:rStyle w:val="row-content-rich-text"/>
              </w:rPr>
              <w:t xml:space="preserve">State and territory health authorities are NOT to report the following codes:</w:t>
            </w:r>
          </w:p>
          <w:p>
            <w:pPr>
              <w:spacing w:after="160"/>
            </w:pPr>
            <w:r>
              <w:rPr>
                <w:rStyle w:val="row-content-rich-text"/>
              </w:rPr>
              <w:t xml:space="preserve">Codes 101–103; 204; 207; 301 </w:t>
            </w:r>
          </w:p>
          <w:p>
            <w:pPr>
              <w:spacing w:after="160"/>
            </w:pPr>
            <w:r>
              <w:rPr>
                <w:rStyle w:val="row-content-rich-text"/>
                <w:i/>
              </w:rPr>
              <w:t xml:space="preserve">Health industry relevant organisation type</w:t>
            </w:r>
          </w:p>
          <w:p>
            <w:pPr>
              <w:spacing w:after="160"/>
            </w:pPr>
            <w:r>
              <w:rPr>
                <w:rStyle w:val="row-content-rich-text"/>
              </w:rPr>
              <w:t xml:space="preserve">State and territory health authorities are NOT to report the following codes:</w:t>
            </w:r>
          </w:p>
          <w:p>
            <w:pPr/>
            <w:r>
              <w:rPr>
                <w:rStyle w:val="row-content-rich-text"/>
              </w:rPr>
              <w:t xml:space="preserve">Codes 106–109; 111; 115–119; 123; 201 and 203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2003. Australian System of Government Finance Statistics: Concepts, Sources and Methods (Cat. no. 5514.0.55.001) 10/10/2003.</w:t>
            </w:r>
          </w:p>
          <w:p>
            <w:pPr/>
            <w:r>
              <w:rPr>
                <w:rStyle w:val="row-content-rich-text"/>
              </w:rPr>
              <w:t xml:space="preserve">Australian Accounting Standards Board 118, July 2007, &lt;</w:t>
            </w:r>
            <w:hyperlink w:history="true" r:id="R2d573cdb34314d1a">
              <w:r>
                <w:rPr>
                  <w:rStyle w:val="Hyperlink"/>
                </w:rPr>
                <w:t xml:space="preserve">www.aasb.com.au</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5ba4141488413d">
              <w:r>
                <w:rPr>
                  <w:rStyle w:val="Hyperlink"/>
                </w:rPr>
                <w:t xml:space="preserve">Government health expenditure function revenue data cluster</w:t>
              </w:r>
            </w:hyperlink>
          </w:p>
          <w:p>
            <w:pPr>
              <w:spacing w:before="0" w:after="0"/>
            </w:pPr>
            <w:r>
              <w:rPr>
                <w:rStyle w:val="row-content"/>
                <w:color w:val="244061"/>
              </w:rPr>
              <w:t xml:space="preserve">       </w:t>
            </w:r>
            <w:hyperlink w:history="true" r:id="R9974659d091e42d7">
              <w:r>
                <w:rPr>
                  <w:rStyle w:val="Hyperlink"/>
                  <w:color w:val="244061"/>
                </w:rPr>
                <w:t xml:space="preserve">Health</w:t>
              </w:r>
            </w:hyperlink>
            <w:r>
              <w:rPr>
                <w:rStyle w:val="row-content"/>
                <w:color w:val="244061"/>
              </w:rPr>
              <w:t xml:space="preserve">, Superseded 03/12/2008</w:t>
            </w:r>
          </w:p>
          <w:p>
            <w:r>
              <w:br/>
            </w:r>
            <w:hyperlink w:history="true" r:id="Ra6e1506bdfeb4985">
              <w:r>
                <w:rPr>
                  <w:rStyle w:val="Hyperlink"/>
                </w:rPr>
                <w:t xml:space="preserve">Government health expenditure function revenue data element cluster</w:t>
              </w:r>
            </w:hyperlink>
          </w:p>
          <w:p>
            <w:pPr>
              <w:spacing w:before="0" w:after="0"/>
            </w:pPr>
            <w:r>
              <w:rPr>
                <w:rStyle w:val="row-content"/>
                <w:color w:val="244061"/>
              </w:rPr>
              <w:t xml:space="preserve">       </w:t>
            </w:r>
            <w:hyperlink w:history="true" r:id="Rb99ed35581784f2c">
              <w:r>
                <w:rPr>
                  <w:rStyle w:val="Hyperlink"/>
                  <w:color w:val="244061"/>
                </w:rPr>
                <w:t xml:space="preserve">Health</w:t>
              </w:r>
            </w:hyperlink>
            <w:r>
              <w:rPr>
                <w:rStyle w:val="row-content"/>
                <w:color w:val="244061"/>
              </w:rPr>
              <w:t xml:space="preserve">, Superseded 04/12/2013</w:t>
            </w:r>
          </w:p>
          <w:p>
            <w:r>
              <w:br/>
            </w:r>
            <w:hyperlink w:history="true" r:id="R50463b3bbd214466">
              <w:r>
                <w:rPr>
                  <w:rStyle w:val="Hyperlink"/>
                </w:rPr>
                <w:t xml:space="preserve">Government health expenditure function revenue data element cluster</w:t>
              </w:r>
            </w:hyperlink>
          </w:p>
          <w:p>
            <w:pPr>
              <w:spacing w:before="0" w:after="0"/>
            </w:pPr>
            <w:r>
              <w:rPr>
                <w:rStyle w:val="row-content"/>
                <w:color w:val="244061"/>
              </w:rPr>
              <w:t xml:space="preserve">       </w:t>
            </w:r>
            <w:hyperlink w:history="true" r:id="R0587fb9838224b1a">
              <w:r>
                <w:rPr>
                  <w:rStyle w:val="Hyperlink"/>
                  <w:color w:val="244061"/>
                </w:rPr>
                <w:t xml:space="preserve">Health</w:t>
              </w:r>
            </w:hyperlink>
            <w:r>
              <w:rPr>
                <w:rStyle w:val="row-content"/>
                <w:color w:val="244061"/>
              </w:rPr>
              <w:t xml:space="preserve">, Standard 04/12/2013</w:t>
            </w:r>
          </w:p>
          <w:p>
            <w:r>
              <w:br/>
            </w:r>
            <w:hyperlink w:history="true" r:id="Re078729427bc4aec">
              <w:r>
                <w:rPr>
                  <w:rStyle w:val="Hyperlink"/>
                </w:rPr>
                <w:t xml:space="preserve">Government health expenditure organisation revenue data element cluster</w:t>
              </w:r>
            </w:hyperlink>
          </w:p>
          <w:p>
            <w:pPr>
              <w:spacing w:before="0" w:after="0"/>
            </w:pPr>
            <w:r>
              <w:rPr>
                <w:rStyle w:val="row-content"/>
                <w:color w:val="244061"/>
              </w:rPr>
              <w:t xml:space="preserve">       </w:t>
            </w:r>
            <w:hyperlink w:history="true" r:id="R03ffa94290fc4072">
              <w:r>
                <w:rPr>
                  <w:rStyle w:val="Hyperlink"/>
                  <w:color w:val="244061"/>
                </w:rPr>
                <w:t xml:space="preserve">Health</w:t>
              </w:r>
            </w:hyperlink>
            <w:r>
              <w:rPr>
                <w:rStyle w:val="row-content"/>
                <w:color w:val="244061"/>
              </w:rPr>
              <w:t xml:space="preserve">, Superseded 01/04/2009</w:t>
            </w:r>
          </w:p>
          <w:p>
            <w:r>
              <w:br/>
            </w:r>
            <w:hyperlink w:history="true" r:id="Re53e912d83644688">
              <w:r>
                <w:rPr>
                  <w:rStyle w:val="Hyperlink"/>
                </w:rPr>
                <w:t xml:space="preserve">Government health expenditure organisation revenue data element cluster</w:t>
              </w:r>
            </w:hyperlink>
          </w:p>
          <w:p>
            <w:pPr>
              <w:spacing w:before="0" w:after="0"/>
            </w:pPr>
            <w:r>
              <w:rPr>
                <w:rStyle w:val="row-content"/>
                <w:color w:val="244061"/>
              </w:rPr>
              <w:t xml:space="preserve">       </w:t>
            </w:r>
            <w:hyperlink w:history="true" r:id="R6b954d2f78da42ad">
              <w:r>
                <w:rPr>
                  <w:rStyle w:val="Hyperlink"/>
                  <w:color w:val="244061"/>
                </w:rPr>
                <w:t xml:space="preserve">Health</w:t>
              </w:r>
            </w:hyperlink>
            <w:r>
              <w:rPr>
                <w:rStyle w:val="row-content"/>
                <w:color w:val="244061"/>
              </w:rPr>
              <w:t xml:space="preserve">, Standard 01/04/2009</w:t>
            </w:r>
          </w:p>
          <w:p>
            <w:r>
              <w:br/>
            </w:r>
          </w:p>
        </w:tc>
      </w:tr>
    </w:tbl>
    <w:p/>
    <w:tbl>
      <w:tblPr>
        <w:tblStyle w:val="TableGrid"/>
        <w:tblW w:w="0" w:type="auto"/>
      </w:tblPr>
    </w:tbl>
    <w:p>
      <w:r>
        <w:br/>
      </w:r>
    </w:p>
    <w:sectPr>
      <w:footerReference xmlns:r="http://schemas.openxmlformats.org/officeDocument/2006/relationships" w:type="default" r:id="R57243f521c9c43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357510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9f591aee11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43f521c9c438b" /><Relationship Type="http://schemas.openxmlformats.org/officeDocument/2006/relationships/header" Target="/word/header1.xml" Id="R5f17f2370eb04b99" /><Relationship Type="http://schemas.openxmlformats.org/officeDocument/2006/relationships/settings" Target="/word/settings.xml" Id="R138431999b514307" /><Relationship Type="http://schemas.openxmlformats.org/officeDocument/2006/relationships/styles" Target="/word/styles.xml" Id="Rccd13a59ece74c54" /><Relationship Type="http://schemas.openxmlformats.org/officeDocument/2006/relationships/hyperlink" Target="https://meteor.aihw.gov.au/RegistrationAuthority/12" TargetMode="External" Id="R0e7ef6bc1ea140bb" /><Relationship Type="http://schemas.openxmlformats.org/officeDocument/2006/relationships/hyperlink" Target="https://meteor.aihw.gov.au/content/357539" TargetMode="External" Id="Rcf99ca30f8304024" /><Relationship Type="http://schemas.openxmlformats.org/officeDocument/2006/relationships/hyperlink" Target="https://meteor.aihw.gov.au/content/357541" TargetMode="External" Id="R270afb77202f40fb" /><Relationship Type="http://schemas.openxmlformats.org/officeDocument/2006/relationships/hyperlink" Target="https://meteor.aihw.gov.au/content/357543" TargetMode="External" Id="Re26e39a3f5ea42f1" /><Relationship Type="http://schemas.openxmlformats.org/officeDocument/2006/relationships/hyperlink" Target="https://meteor.aihw.gov.au/content/357503" TargetMode="External" Id="R367cf285760c4c91" /><Relationship Type="http://schemas.openxmlformats.org/officeDocument/2006/relationships/hyperlink" Target="https://meteor.aihw.gov.au/content/357602" TargetMode="External" Id="R281ba9a801554283" /><Relationship Type="http://schemas.openxmlformats.org/officeDocument/2006/relationships/numbering" Target="/word/numbering.xml" Id="Rfec5f0a206904693" /><Relationship Type="http://schemas.openxmlformats.org/officeDocument/2006/relationships/hyperlink" Target="http://www.aasb.com.au" TargetMode="External" Id="R2d573cdb34314d1a" /><Relationship Type="http://schemas.openxmlformats.org/officeDocument/2006/relationships/hyperlink" Target="https://meteor.aihw.gov.au/content/352476" TargetMode="External" Id="R6a5ba4141488413d" /><Relationship Type="http://schemas.openxmlformats.org/officeDocument/2006/relationships/hyperlink" Target="https://meteor.aihw.gov.au/RegistrationAuthority/12" TargetMode="External" Id="R9974659d091e42d7" /><Relationship Type="http://schemas.openxmlformats.org/officeDocument/2006/relationships/hyperlink" Target="https://meteor.aihw.gov.au/content/372219" TargetMode="External" Id="Ra6e1506bdfeb4985" /><Relationship Type="http://schemas.openxmlformats.org/officeDocument/2006/relationships/hyperlink" Target="https://meteor.aihw.gov.au/RegistrationAuthority/12" TargetMode="External" Id="Rb99ed35581784f2c" /><Relationship Type="http://schemas.openxmlformats.org/officeDocument/2006/relationships/hyperlink" Target="https://meteor.aihw.gov.au/content/542004" TargetMode="External" Id="R50463b3bbd214466" /><Relationship Type="http://schemas.openxmlformats.org/officeDocument/2006/relationships/hyperlink" Target="https://meteor.aihw.gov.au/RegistrationAuthority/12" TargetMode="External" Id="R0587fb9838224b1a" /><Relationship Type="http://schemas.openxmlformats.org/officeDocument/2006/relationships/hyperlink" Target="https://meteor.aihw.gov.au/content/352462" TargetMode="External" Id="Re078729427bc4aec" /><Relationship Type="http://schemas.openxmlformats.org/officeDocument/2006/relationships/hyperlink" Target="https://meteor.aihw.gov.au/RegistrationAuthority/12" TargetMode="External" Id="R03ffa94290fc4072" /><Relationship Type="http://schemas.openxmlformats.org/officeDocument/2006/relationships/hyperlink" Target="https://meteor.aihw.gov.au/content/376884" TargetMode="External" Id="Re53e912d83644688" /><Relationship Type="http://schemas.openxmlformats.org/officeDocument/2006/relationships/hyperlink" Target="https://meteor.aihw.gov.au/RegistrationAuthority/12" TargetMode="External" Id="R6b954d2f78da42ad" /></Relationships>
</file>

<file path=word/_rels/header1.xml.rels>&#65279;<?xml version="1.0" encoding="utf-8"?><Relationships xmlns="http://schemas.openxmlformats.org/package/2006/relationships"><Relationship Type="http://schemas.openxmlformats.org/officeDocument/2006/relationships/image" Target="/media/image.png" Id="R829f591aee114420" /></Relationships>
</file>