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933e793be4fc3" /></Relationships>
</file>

<file path=word/document.xml><?xml version="1.0" encoding="utf-8"?>
<w:document xmlns:r="http://schemas.openxmlformats.org/officeDocument/2006/relationships" xmlns:w="http://schemas.openxmlformats.org/wordprocessingml/2006/main">
  <w:body>
    <w:p>
      <w:pPr>
        <w:pStyle w:val="Title"/>
      </w:pPr>
      <w:r>
        <w:t>Chest pain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0aeab96ef405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chest pain pattern.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pain, discomfort or pressure in the chest or the upper body (neck and throat, jaw, shoulders, back, either or both arms, wrists and hands)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or upper body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for at least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3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fff0cf178442e">
              <w:r>
                <w:rPr>
                  <w:rStyle w:val="Hyperlink"/>
                </w:rPr>
                <w:t xml:space="preserve">Chest pain  code N</w:t>
              </w:r>
            </w:hyperlink>
          </w:p>
          <w:p>
            <w:pPr>
              <w:spacing w:before="0" w:after="0"/>
            </w:pPr>
            <w:r>
              <w:rPr>
                <w:rStyle w:val="row-content"/>
                <w:color w:val="244061"/>
              </w:rPr>
              <w:t xml:space="preserve">       </w:t>
            </w:r>
            <w:hyperlink w:history="true" r:id="R03622d499e1246a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f4ee5e5da74abb">
              <w:r>
                <w:rPr>
                  <w:rStyle w:val="Hyperlink"/>
                </w:rPr>
                <w:t xml:space="preserve">Person—chest pain pattern, code N</w:t>
              </w:r>
            </w:hyperlink>
          </w:p>
          <w:p>
            <w:pPr>
              <w:spacing w:before="0" w:after="0"/>
            </w:pPr>
            <w:r>
              <w:rPr>
                <w:rStyle w:val="row-content"/>
                <w:color w:val="244061"/>
              </w:rPr>
              <w:t xml:space="preserve">       </w:t>
            </w:r>
            <w:hyperlink w:history="true" r:id="Re87f23d7c081459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3886a8a46aa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407764c03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86a8a46aa4a3c" /><Relationship Type="http://schemas.openxmlformats.org/officeDocument/2006/relationships/header" Target="/word/header1.xml" Id="R0c5eb73906b249d4" /><Relationship Type="http://schemas.openxmlformats.org/officeDocument/2006/relationships/settings" Target="/word/settings.xml" Id="R4cec4d29aed146ba" /><Relationship Type="http://schemas.openxmlformats.org/officeDocument/2006/relationships/styles" Target="/word/styles.xml" Id="Rabd138ebf7c74acf" /><Relationship Type="http://schemas.openxmlformats.org/officeDocument/2006/relationships/hyperlink" Target="https://meteor.aihw.gov.au/RegistrationAuthority/12" TargetMode="External" Id="R7db0aeab96ef4055" /><Relationship Type="http://schemas.openxmlformats.org/officeDocument/2006/relationships/hyperlink" Target="https://meteor.aihw.gov.au/content/284819" TargetMode="External" Id="R9a6fff0cf178442e" /><Relationship Type="http://schemas.openxmlformats.org/officeDocument/2006/relationships/hyperlink" Target="https://meteor.aihw.gov.au/RegistrationAuthority/12" TargetMode="External" Id="R03622d499e1246a3" /><Relationship Type="http://schemas.openxmlformats.org/officeDocument/2006/relationships/hyperlink" Target="https://meteor.aihw.gov.au/content/356738" TargetMode="External" Id="R82f4ee5e5da74abb" /><Relationship Type="http://schemas.openxmlformats.org/officeDocument/2006/relationships/hyperlink" Target="https://meteor.aihw.gov.au/RegistrationAuthority/12" TargetMode="External" Id="Re87f23d7c081459f" /></Relationships>
</file>

<file path=word/_rels/header1.xml.rels>&#65279;<?xml version="1.0" encoding="utf-8"?><Relationships xmlns="http://schemas.openxmlformats.org/package/2006/relationships"><Relationship Type="http://schemas.openxmlformats.org/officeDocument/2006/relationships/image" Target="/media/image.png" Id="R1c2407764c034b5f" /></Relationships>
</file>