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675d4387594580" /></Relationships>
</file>

<file path=word/document.xml><?xml version="1.0" encoding="utf-8"?>
<w:document xmlns:r="http://schemas.openxmlformats.org/officeDocument/2006/relationships" xmlns:w="http://schemas.openxmlformats.org/wordprocessingml/2006/main">
  <w:body>
    <w:p>
      <w:pPr>
        <w:pStyle w:val="Title"/>
      </w:pPr>
      <w:r>
        <w:t>Cardiovascular disease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disease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353668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72c286ca994cbb">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cardiovascular data (CV-Data) in this metadata set is voluntary.</w:t>
            </w:r>
          </w:p>
          <w:p>
            <w:pPr>
              <w:spacing w:after="160"/>
            </w:pPr>
            <w:r>
              <w:rPr>
                <w:rStyle w:val="row-content-rich-text"/>
              </w:rPr>
              <w:t xml:space="preserve">The definitions used in CV-Data are designed to underpin the data collected by health professionals in their day-to-day practice. They relate to the realities of a clinical consultation and the ongoing nature of care and relationships that are formed between doctors and patients in clinical practice.</w:t>
            </w:r>
          </w:p>
          <w:p>
            <w:pPr>
              <w:spacing w:after="160"/>
            </w:pPr>
            <w:r>
              <w:rPr>
                <w:rStyle w:val="row-content-rich-text"/>
              </w:rPr>
              <w:t xml:space="preserve">The data elements specified in this metadata set provide a framework for:</w:t>
            </w:r>
          </w:p>
          <w:p>
            <w:pPr>
              <w:pStyle w:val="ListParagraph"/>
              <w:numPr>
                <w:ilvl w:val="0"/>
                <w:numId w:val="2"/>
              </w:numPr>
            </w:pPr>
            <w:r>
              <w:rPr>
                <w:rStyle w:val="row-content-rich-text"/>
              </w:rPr>
              <w:t xml:space="preserve">promoting the delivery of high quality cardiovascular disease preventive and management care to patients,</w:t>
            </w:r>
          </w:p>
          <w:p>
            <w:pPr>
              <w:pStyle w:val="ListParagraph"/>
              <w:numPr>
                <w:ilvl w:val="0"/>
                <w:numId w:val="2"/>
              </w:numPr>
            </w:pPr>
            <w:r>
              <w:rPr>
                <w:rStyle w:val="row-content-rich-text"/>
              </w:rPr>
              <w:t xml:space="preserve">facilitating ongoing improvement in the quality of cardiovascular and chronic disease care predominantly in primary care and other community settings in Australia, and</w:t>
            </w:r>
          </w:p>
          <w:p>
            <w:pPr>
              <w:pStyle w:val="ListParagraph"/>
              <w:numPr>
                <w:ilvl w:val="0"/>
                <w:numId w:val="2"/>
              </w:numPr>
            </w:pPr>
            <w:r>
              <w:rPr>
                <w:rStyle w:val="row-content-rich-text"/>
              </w:rPr>
              <w:t xml:space="preserve">supporting general practice and other primary care services as they develop information systems to complement the above.</w:t>
            </w:r>
          </w:p>
          <w:p>
            <w:pPr>
              <w:spacing w:after="160"/>
            </w:pPr>
            <w:r>
              <w:rPr>
                <w:rStyle w:val="row-content-rich-text"/>
              </w:rPr>
              <w:t xml:space="preserve">This is particularly important as general practice is the setting in which chronic disease prevention and management predominantly takes place. Having a nationally recognised set of definitions in relation to defining a patient's cardiovascular behavioural, social and biological risk factors, and their prevention and management status for use in these clinical settings, is a prerequisite to achieving these aims.</w:t>
            </w:r>
          </w:p>
          <w:p>
            <w:pPr>
              <w:spacing w:after="160"/>
            </w:pPr>
            <w:r>
              <w:rPr>
                <w:rStyle w:val="row-content-rich-text"/>
              </w:rPr>
              <w:t xml:space="preserve">Many of the data elements in this metadata set are also used in the collection of diabetes clinical information.</w:t>
            </w:r>
          </w:p>
          <w:p>
            <w:pPr/>
            <w:r>
              <w:rPr>
                <w:rStyle w:val="row-content-rich-text"/>
              </w:rPr>
              <w:t xml:space="preserve">Where appropriate, it may be useful if the data definitions in this metadata set were used to address data definition needs for use in non-clinical environments such as public health surveys etc. This could allow for qualitative comparisons between data collected in, and aggregated from clinical settings (i.e. using application of CV-Data), with that collected through other means (e.g. public health surveys).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set is primarily concerned with the clinical use of CV-data. It could also be used by a wider range of health and health related establishments that create, use or maintain, records on health 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a54d46c24e48e1">
              <w:r>
                <w:rPr>
                  <w:rStyle w:val="Hyperlink"/>
                </w:rPr>
                <w:t xml:space="preserve">Cardiovascular disease (clinical) DSS</w:t>
              </w:r>
            </w:hyperlink>
          </w:p>
          <w:p>
            <w:pPr>
              <w:spacing w:before="0" w:after="0"/>
            </w:pPr>
            <w:r>
              <w:rPr>
                <w:rStyle w:val="row-content"/>
                <w:color w:val="244061"/>
              </w:rPr>
              <w:t xml:space="preserve">       </w:t>
            </w:r>
            <w:hyperlink w:history="true" r:id="Rd6ef4ce0bb0c48ff">
              <w:r>
                <w:rPr>
                  <w:rStyle w:val="Hyperlink"/>
                  <w:color w:val="244061"/>
                </w:rPr>
                <w:t xml:space="preserve">Health</w:t>
              </w:r>
            </w:hyperlink>
            <w:r>
              <w:rPr>
                <w:rStyle w:val="row-content"/>
                <w:color w:val="244061"/>
              </w:rPr>
              <w:t xml:space="preserve">, Superseded 04/07/2007</w:t>
            </w:r>
          </w:p>
          <w:p>
            <w:r>
              <w:br/>
            </w:r>
            <w:r>
              <w:rPr>
                <w:rStyle w:val="row-content"/>
              </w:rPr>
              <w:t xml:space="preserve">Has been superseded by </w:t>
            </w:r>
            <w:hyperlink w:history="true" r:id="R85f655668e71428b">
              <w:r>
                <w:rPr>
                  <w:rStyle w:val="Hyperlink"/>
                </w:rPr>
                <w:t xml:space="preserve">Cardiovascular disease (clinical) DSS</w:t>
              </w:r>
            </w:hyperlink>
          </w:p>
          <w:p>
            <w:pPr>
              <w:spacing w:before="0" w:after="0"/>
            </w:pPr>
            <w:r>
              <w:rPr>
                <w:rStyle w:val="row-content"/>
                <w:color w:val="244061"/>
              </w:rPr>
              <w:t xml:space="preserve">       </w:t>
            </w:r>
            <w:hyperlink w:history="true" r:id="R35572db534bc4fa9">
              <w:r>
                <w:rPr>
                  <w:rStyle w:val="Hyperlink"/>
                  <w:color w:val="244061"/>
                </w:rPr>
                <w:t xml:space="preserve">Health</w:t>
              </w:r>
            </w:hyperlink>
            <w:r>
              <w:rPr>
                <w:rStyle w:val="row-content"/>
                <w:color w:val="244061"/>
              </w:rPr>
              <w:t xml:space="preserve">, Superseded 01/09/2012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203ddda3a44b26">
                    <w:r>
                      <w:rPr>
                        <w:rStyle w:val="Hyperlink"/>
                      </w:rPr>
                      <w:t xml:space="preserve">Division of general practice—organisation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06a983b5f141f3">
                    <w:r>
                      <w:rPr>
                        <w:rStyle w:val="Hyperlink"/>
                      </w:rPr>
                      <w:t xml:space="preserve">Episode of care—behaviour-related risk factor intervention purpose, code N</w:t>
                    </w:r>
                  </w:hyperlink>
                </w:p>
                <w:p>
                  <w:r>
                    <w:rPr>
                      <w:b/>
                      <w:i/>
                      <w:color w:val="333333"/>
                    </w:rPr>
                    <w:t xml:space="preserve">DSS specific information:</w:t>
                  </w:r>
                </w:p>
                <w:p>
                  <w: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t xml:space="preserve">Smoking, Nutrition, Alcohol, Physical Activity (SNAP) initiative:</w:t>
                  </w:r>
                </w:p>
                <w:p>
                  <w:r>
                    <w:t xml:space="preserve">SNAP Framework for General Practice is an initiative of the Joint Advisory Group (JAG) on General Practice and Population Health.</w:t>
                  </w:r>
                </w:p>
                <w:p>
                  <w: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t xml:space="preserve">general practice.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b6eedae5b544b7">
                    <w:r>
                      <w:rPr>
                        <w:rStyle w:val="Hyperlink"/>
                      </w:rPr>
                      <w:t xml:space="preserve">Episode of care—behaviour-related risk factor intervention,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92b998382f4a71">
                    <w:r>
                      <w:rPr>
                        <w:rStyle w:val="Hyperlink"/>
                      </w:rPr>
                      <w:t xml:space="preserve">Health service event—fasting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cca704ee444e82">
                    <w:r>
                      <w:rPr>
                        <w:rStyle w:val="Hyperlink"/>
                      </w:rPr>
                      <w:t xml:space="preserve">Health service event—referral to rehabilitation service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1b27a378e347af">
                    <w:r>
                      <w:rPr>
                        <w:rStyle w:val="Hyperlink"/>
                      </w:rPr>
                      <w:t xml:space="preserve">Patient—diagnosis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9635063b26460f">
                    <w:r>
                      <w:rPr>
                        <w:rStyle w:val="Hyperlink"/>
                      </w:rPr>
                      <w:t xml:space="preserve">Person (address)—Australian postcode, code (Postcode datafile) {NNNN}</w:t>
                    </w:r>
                  </w:hyperlink>
                </w:p>
                <w:p>
                  <w:r>
                    <w:rPr>
                      <w:b/>
                      <w:i/>
                      <w:color w:val="333333"/>
                    </w:rPr>
                    <w:t xml:space="preserve">DSS specific information:</w:t>
                  </w:r>
                </w:p>
                <w:p>
                  <w:r>
                    <w:t xml:space="preserve">The postcode can also be used in association with the Australian Bureau of Statistics Socio-Economic Indexes for Areas (SEIFA) index (Australian Bureau of Statistics Socio-Economic Indexes for Areas (SEIFA), Australia (CD-ROM) to derive socio-economic disadvantage, which is associated with cardiovascular risk.</w:t>
                  </w:r>
                </w:p>
                <w:p>
                  <w:r>
                    <w:t xml:space="preserve">People from lower socio-economic groups are more likely to die from cardiovascular disease than those from higher socio-economic groups. In 1997, people aged 25 - 64 living in the most disadvantaged group of the population died from cardiovascular disease at around twice the rate of those living in the least disadvantaged group (Australian Institute of Health and Welfare (AIHW) 2001. Heart, stroke and vascular diseases- Australian facts 2001.).</w:t>
                  </w:r>
                </w:p>
                <w:p>
                  <w:r>
                    <w:t xml:space="preserve">This difference in death rates has existed since at least the 1970s.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c5f53ce11049bf">
                    <w:r>
                      <w:rPr>
                        <w:rStyle w:val="Hyperlink"/>
                      </w:rPr>
                      <w:t xml:space="preserve">Person—alcohol consumption amount (self-reported), total standard drinks NN</w:t>
                    </w:r>
                  </w:hyperlink>
                </w:p>
                <w:p>
                  <w:r>
                    <w:rPr>
                      <w:b/>
                      <w:i/>
                      <w:color w:val="333333"/>
                    </w:rPr>
                    <w:t xml:space="preserve">DSS specific information:</w:t>
                  </w:r>
                </w:p>
                <w:p>
                  <w:r>
                    <w:t xml:space="preserve">These data are used to help determine the overall health profile of an individual. Certain patterns of alcohol consumption can be associated with a range of social and health problems. These problems include:</w:t>
                  </w:r>
                </w:p>
                <w:p>
                  <w:pPr>
                    <w:pStyle w:val="ListParagraph"/>
                    <w:numPr>
                      <w:ilvl w:val="0"/>
                      <w:numId w:val="3"/>
                    </w:numPr>
                  </w:pPr>
                  <w:r>
                    <w:t xml:space="preserve">social problems such as domestic violence, unsafe sex, </w:t>
                  </w:r>
                </w:p>
                <w:p>
                  <w:pPr>
                    <w:pStyle w:val="ListParagraph"/>
                    <w:numPr>
                      <w:ilvl w:val="0"/>
                      <w:numId w:val="3"/>
                    </w:numPr>
                  </w:pPr>
                  <w:r>
                    <w:t xml:space="preserve">financial and relationship problems, </w:t>
                  </w:r>
                </w:p>
                <w:p>
                  <w:pPr>
                    <w:pStyle w:val="ListParagraph"/>
                    <w:numPr>
                      <w:ilvl w:val="0"/>
                      <w:numId w:val="3"/>
                    </w:numPr>
                  </w:pPr>
                  <w:r>
                    <w:t xml:space="preserve">physical conditions such as high blood pressure, gastrointestinal problems, pancreatitis, </w:t>
                  </w:r>
                </w:p>
                <w:p>
                  <w:pPr>
                    <w:pStyle w:val="ListParagraph"/>
                    <w:numPr>
                      <w:ilvl w:val="0"/>
                      <w:numId w:val="3"/>
                    </w:numPr>
                  </w:pPr>
                  <w:r>
                    <w:t xml:space="preserve">an increased risk of physical injury.</w:t>
                  </w:r>
                </w:p>
                <w:p>
                  <w:pPr>
                    <w:pStyle w:val="ListParagraph"/>
                    <w:numPr>
                      <w:ilvl w:val="0"/>
                      <w:numId w:val="3"/>
                    </w:numPr>
                  </w:pPr>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52dc94d9b24b13">
                    <w:r>
                      <w:rPr>
                        <w:rStyle w:val="Hyperlink"/>
                      </w:rPr>
                      <w:t xml:space="preserve">Person—alcohol consumption frequency (self-reported), code NN</w:t>
                    </w:r>
                  </w:hyperlink>
                </w:p>
                <w:p>
                  <w:r>
                    <w:rPr>
                      <w:b/>
                      <w:i/>
                      <w:color w:val="333333"/>
                    </w:rPr>
                    <w:t xml:space="preserve">DSS specific information:</w:t>
                  </w:r>
                </w:p>
                <w:p>
                  <w:r>
                    <w:t xml:space="preserve">These data can be used to help determine the overall health profile of an individual or of a population. Certain patterns of alcohol consumption can be associated with a range of social and health problems. These problems include:</w:t>
                  </w:r>
                </w:p>
                <w:p>
                  <w:pPr>
                    <w:pStyle w:val="ListParagraph"/>
                    <w:numPr>
                      <w:ilvl w:val="0"/>
                      <w:numId w:val="4"/>
                    </w:numPr>
                  </w:pPr>
                  <w:r>
                    <w:t xml:space="preserve">social problems such as domestic violence, unsafe sex,</w:t>
                  </w:r>
                </w:p>
                <w:p>
                  <w:pPr>
                    <w:pStyle w:val="ListParagraph"/>
                    <w:numPr>
                      <w:ilvl w:val="0"/>
                      <w:numId w:val="4"/>
                    </w:numPr>
                  </w:pPr>
                  <w:r>
                    <w:t xml:space="preserve">financial and relationship problems,</w:t>
                  </w:r>
                </w:p>
                <w:p>
                  <w:pPr>
                    <w:pStyle w:val="ListParagraph"/>
                    <w:numPr>
                      <w:ilvl w:val="0"/>
                      <w:numId w:val="4"/>
                    </w:numPr>
                  </w:pPr>
                  <w:r>
                    <w:t xml:space="preserve">physical conditions such as high blood pressure, gastrointestinal problems, pancreatitis,</w:t>
                  </w:r>
                </w:p>
                <w:p>
                  <w:pPr>
                    <w:pStyle w:val="ListParagraph"/>
                    <w:numPr>
                      <w:ilvl w:val="0"/>
                      <w:numId w:val="4"/>
                    </w:numPr>
                  </w:pPr>
                  <w:r>
                    <w:t xml:space="preserve">an increased risk of physical injury. </w:t>
                  </w:r>
                </w:p>
                <w:p>
                  <w:r>
                    <w:t xml:space="preserve">Alcohol can also be a contributor to acute health problems.</w:t>
                  </w:r>
                </w:p>
                <w:p>
                  <w:r>
                    <w:t xml:space="preserve">Evidence from prospective studies indicates that heavy alcohol consumption is associated with increased mortality and morbidity from coronary heart disease and stroke (Hanna et al 1992). However, there is some evidence to suggest that alcohol appears to provide some protection against heart disease (both illness and death) for both men and women from middle age onwards. Most, if not all, of this benefit is achieved with 1-2 standard drinks per day for men and less than 1 standard drink for women (the National Health and Medical Research Council's Australian Alcohol Guidelines, October 2001).</w:t>
                  </w:r>
                </w:p>
                <w:p>
                  <w:r>
                    <w:t xml:space="preserve">Where this information is collected by survey and the sample permits, population estimates should be presented by sex and 5-year age groups. Summary statistics may need to be adjusted for age and other relevant variables. It is recommended that, in surveys of alcohol consumption, data on age, sex, and other socio-demographic variables also be collected where it is possible and desirable to do so. It is also recommended that, when alcohol consumption is investigated in relation to health, data on other risk factors including overweight and obesity, smoking, high blood pressure and physical inactivity should be collected. The Australian Alcohol Guidelines: Health Risk and Benefits endorsed by the National Health and Medical Research Council in October 2001 have defined risk of harm in the short term and long term based on patterns of drinking.</w:t>
                  </w:r>
                </w:p>
                <w:p>
                  <w:r>
                    <w:t xml:space="preserve">The table below outlines those patterns.</w:t>
                  </w:r>
                </w:p>
                <w:p>
                  <w:r>
                    <w:t xml:space="preserve">Alcohol consumption shown in the tables is not recommended for people who: - have a condition made worse by drinking,</w:t>
                  </w:r>
                </w:p>
                <w:p>
                  <w:pPr>
                    <w:pStyle w:val="ListParagraph"/>
                    <w:numPr>
                      <w:ilvl w:val="0"/>
                      <w:numId w:val="5"/>
                    </w:numPr>
                  </w:pPr>
                  <w:r>
                    <w:t xml:space="preserve">are on medication,</w:t>
                  </w:r>
                </w:p>
                <w:p>
                  <w:pPr>
                    <w:pStyle w:val="ListParagraph"/>
                    <w:numPr>
                      <w:ilvl w:val="0"/>
                      <w:numId w:val="5"/>
                    </w:numPr>
                  </w:pPr>
                  <w:r>
                    <w:t xml:space="preserve">are under 18 years of age,</w:t>
                  </w:r>
                </w:p>
                <w:p>
                  <w:pPr>
                    <w:pStyle w:val="ListParagraph"/>
                    <w:numPr>
                      <w:ilvl w:val="0"/>
                      <w:numId w:val="5"/>
                    </w:numPr>
                  </w:pPr>
                  <w:r>
                    <w:t xml:space="preserve">are pregnant,</w:t>
                  </w:r>
                </w:p>
                <w:p>
                  <w:pPr>
                    <w:pStyle w:val="ListParagraph"/>
                    <w:numPr>
                      <w:ilvl w:val="0"/>
                      <w:numId w:val="5"/>
                    </w:numPr>
                  </w:pPr>
                  <w:r>
                    <w:t xml:space="preserve">are about to engage in activities involving risk or a degree of skill (e.g. driving, flying, water sports, skiing, operating machinery). </w:t>
                  </w:r>
                </w:p>
                <w:p>
                  <w:r>
                    <w:t xml:space="preserve"> </w:t>
                  </w:r>
                </w:p>
                <w:tbl>
                  <w:tblPr>
                    <w:tblStyle w:val="InnerTable"/>
                    <w:tblW w:w="0" w:type="auto"/>
                  </w:tblPr>
                  <w:tblGrid>
                    <w:gridCol/>
                    <w:gridCol/>
                    <w:gridCol/>
                    <w:gridCol/>
                  </w:tblGrid>
                  <w:tr>
                    <w:trPr/>
                    <w:tc>
                      <w:tcPr>
                        <w:gridSpan w:val="4"/>
                        <w:vAlign w:val="top"/>
                      </w:tcPr>
                      <w:p>
                        <w:r>
                          <w:t xml:space="preserve">Risk of harm in the short-term</w:t>
                        </w:r>
                      </w:p>
                    </w:tc>
                  </w:tr>
                  <w:tr>
                    <w:trPr/>
                    <w:tc>
                      <w:tcPr>
                        <w:vAlign w:val="top"/>
                      </w:tcPr>
                      <w:p>
                        <w:r>
                          <w:t xml:space="preserve"> </w:t>
                        </w:r>
                      </w:p>
                    </w:tc>
                    <w:tc>
                      <w:tcPr>
                        <w:vAlign w:val="top"/>
                      </w:tcPr>
                      <w:p>
                        <w:r>
                          <w:t xml:space="preserve">Low risk</w:t>
                        </w:r>
                      </w:p>
                      <w:p>
                        <w:r>
                          <w:t xml:space="preserve">(standard drinks)</w:t>
                        </w:r>
                      </w:p>
                    </w:tc>
                    <w:tc>
                      <w:tcPr>
                        <w:vAlign w:val="top"/>
                      </w:tcPr>
                      <w:p>
                        <w:r>
                          <w:t xml:space="preserve">Risky</w:t>
                        </w:r>
                      </w:p>
                      <w:p>
                        <w:r>
                          <w:t xml:space="preserve">(standard drinks)</w:t>
                        </w:r>
                      </w:p>
                    </w:tc>
                    <w:tc>
                      <w:tcPr>
                        <w:vAlign w:val="top"/>
                      </w:tcPr>
                      <w:p>
                        <w:r>
                          <w:t xml:space="preserve">High risk</w:t>
                        </w:r>
                      </w:p>
                      <w:p>
                        <w:r>
                          <w:t xml:space="preserve">(standard drinks)</w:t>
                        </w:r>
                      </w:p>
                    </w:tc>
                  </w:tr>
                  <w:tr>
                    <w:trPr/>
                    <w:tc>
                      <w:tcPr>
                        <w:vAlign w:val="top"/>
                      </w:tcPr>
                      <w:p>
                        <w:r>
                          <w:t xml:space="preserve">Males</w:t>
                        </w:r>
                      </w:p>
                      <w:p>
                        <w:r>
                          <w:t xml:space="preserve">(on a single occasion)</w:t>
                        </w:r>
                      </w:p>
                    </w:tc>
                    <w:tc>
                      <w:tcPr>
                        <w:vAlign w:val="top"/>
                      </w:tcPr>
                      <w:p>
                        <w:r>
                          <w:t xml:space="preserve">Up to 6</w:t>
                        </w:r>
                      </w:p>
                    </w:tc>
                    <w:tc>
                      <w:tcPr>
                        <w:vAlign w:val="top"/>
                      </w:tcPr>
                      <w:p>
                        <w:r>
                          <w:t xml:space="preserve">7 to 10</w:t>
                        </w:r>
                      </w:p>
                    </w:tc>
                    <w:tc>
                      <w:tcPr>
                        <w:vAlign w:val="top"/>
                      </w:tcPr>
                      <w:p>
                        <w:r>
                          <w:t xml:space="preserve">11 or more</w:t>
                        </w:r>
                      </w:p>
                    </w:tc>
                  </w:tr>
                  <w:tr>
                    <w:trPr/>
                    <w:tc>
                      <w:tcPr>
                        <w:vAlign w:val="top"/>
                      </w:tcPr>
                      <w:p>
                        <w:r>
                          <w:t xml:space="preserve">Females</w:t>
                        </w:r>
                      </w:p>
                      <w:p>
                        <w:r>
                          <w:t xml:space="preserve">(on a single occasion)</w:t>
                        </w:r>
                      </w:p>
                    </w:tc>
                    <w:tc>
                      <w:tcPr>
                        <w:vAlign w:val="top"/>
                      </w:tcPr>
                      <w:p>
                        <w:r>
                          <w:t xml:space="preserve">Up to 4</w:t>
                        </w:r>
                      </w:p>
                    </w:tc>
                    <w:tc>
                      <w:tcPr>
                        <w:vAlign w:val="top"/>
                      </w:tcPr>
                      <w:p>
                        <w:r>
                          <w:t xml:space="preserve">5 to 6</w:t>
                        </w:r>
                      </w:p>
                    </w:tc>
                    <w:tc>
                      <w:tcPr>
                        <w:vAlign w:val="top"/>
                      </w:tcPr>
                      <w:p>
                        <w:r>
                          <w:t xml:space="preserve">7 or more</w:t>
                        </w:r>
                      </w:p>
                    </w:tc>
                  </w:tr>
                </w:tbl>
                <w:p>
                  <w:r>
                    <w:t xml:space="preserve"> </w:t>
                  </w:r>
                </w:p>
                <w:p>
                  <w:r>
                    <w:t xml:space="preserve"> </w:t>
                  </w:r>
                  <w:r>
                    <w:t xml:space="preserve">Source: </w:t>
                  </w:r>
                  <w:r>
                    <w:rPr>
                      <w:i/>
                    </w:rPr>
                    <w:t xml:space="preserve">NH&amp;MRC Australian Alcohol Guidelines: Health Risk and Benefits 2001.</w:t>
                  </w:r>
                </w:p>
                <w:p>
                  <w:r>
                    <w:rPr>
                      <w:i/>
                    </w:rPr>
                    <w:t xml:space="preserve"> </w:t>
                  </w:r>
                </w:p>
                <w:tbl>
                  <w:tblPr>
                    <w:tblStyle w:val="InnerTable"/>
                    <w:tblW w:w="0" w:type="auto"/>
                  </w:tblPr>
                  <w:tblGrid>
                    <w:gridCol/>
                    <w:gridCol/>
                    <w:gridCol/>
                    <w:gridCol/>
                  </w:tblGrid>
                  <w:tr>
                    <w:trPr/>
                    <w:tc>
                      <w:tcPr>
                        <w:gridSpan w:val="4"/>
                        <w:vAlign w:val="top"/>
                      </w:tcPr>
                      <w:p>
                        <w:r>
                          <w:rPr>
                            <w:i/>
                          </w:rPr>
                          <w:t xml:space="preserve">Risk of harm in the long-term</w:t>
                        </w:r>
                      </w:p>
                    </w:tc>
                  </w:tr>
                  <w:tr>
                    <w:trPr/>
                    <w:tc>
                      <w:tcPr>
                        <w:vAlign w:val="top"/>
                      </w:tcPr>
                      <w:p>
                        <w:r>
                          <w:rPr>
                            <w:i/>
                          </w:rPr>
                          <w:t xml:space="preserve"> </w:t>
                        </w:r>
                      </w:p>
                    </w:tc>
                    <w:tc>
                      <w:tcPr>
                        <w:vAlign w:val="top"/>
                      </w:tcPr>
                      <w:p>
                        <w:r>
                          <w:rPr>
                            <w:i/>
                          </w:rPr>
                          <w:t xml:space="preserve">Low risk</w:t>
                        </w:r>
                      </w:p>
                      <w:p>
                        <w:r>
                          <w:rPr>
                            <w:i/>
                            <w:sz w:val="20"/>
                          </w:rPr>
                          <w:t xml:space="preserve">(standard drinks)</w:t>
                        </w:r>
                      </w:p>
                    </w:tc>
                    <w:tc>
                      <w:tcPr>
                        <w:vAlign w:val="top"/>
                      </w:tcPr>
                      <w:p>
                        <w:r>
                          <w:rPr>
                            <w:i/>
                          </w:rPr>
                          <w:t xml:space="preserve">Risky</w:t>
                        </w:r>
                      </w:p>
                      <w:p>
                        <w:r>
                          <w:rPr>
                            <w:i/>
                            <w:sz w:val="20"/>
                          </w:rPr>
                          <w:t xml:space="preserve">(standard drinks)</w:t>
                        </w:r>
                      </w:p>
                    </w:tc>
                    <w:tc>
                      <w:tcPr>
                        <w:vAlign w:val="top"/>
                      </w:tcPr>
                      <w:p>
                        <w:r>
                          <w:rPr>
                            <w:i/>
                          </w:rPr>
                          <w:t xml:space="preserve">High risk</w:t>
                        </w:r>
                      </w:p>
                      <w:p>
                        <w:r>
                          <w:rPr>
                            <w:i/>
                            <w:sz w:val="20"/>
                          </w:rPr>
                          <w:t xml:space="preserve">(standard drinks)</w:t>
                        </w:r>
                      </w:p>
                    </w:tc>
                  </w:tr>
                  <w:tr>
                    <w:trPr/>
                    <w:tc>
                      <w:tcPr>
                        <w:vAlign w:val="top"/>
                      </w:tcPr>
                      <w:p>
                        <w:r>
                          <w:rPr>
                            <w:i/>
                          </w:rPr>
                          <w:t xml:space="preserve">Males</w:t>
                        </w:r>
                      </w:p>
                      <w:p>
                        <w:r>
                          <w:rPr>
                            <w:i/>
                            <w:sz w:val="20"/>
                          </w:rPr>
                          <w:t xml:space="preserve">(on an average day)</w:t>
                        </w:r>
                      </w:p>
                    </w:tc>
                    <w:tc>
                      <w:tcPr>
                        <w:vAlign w:val="top"/>
                      </w:tcPr>
                      <w:p>
                        <w:r>
                          <w:rPr>
                            <w:i/>
                          </w:rPr>
                          <w:t xml:space="preserve">Up to 4</w:t>
                        </w:r>
                      </w:p>
                    </w:tc>
                    <w:tc>
                      <w:tcPr>
                        <w:vAlign w:val="top"/>
                      </w:tcPr>
                      <w:p>
                        <w:r>
                          <w:rPr>
                            <w:i/>
                          </w:rPr>
                          <w:t xml:space="preserve">5 to 6</w:t>
                        </w:r>
                      </w:p>
                    </w:tc>
                    <w:tc>
                      <w:tcPr>
                        <w:vAlign w:val="top"/>
                      </w:tcPr>
                      <w:p>
                        <w:r>
                          <w:rPr>
                            <w:i/>
                          </w:rPr>
                          <w:t xml:space="preserve">7 or more</w:t>
                        </w:r>
                      </w:p>
                    </w:tc>
                  </w:tr>
                  <w:tr>
                    <w:trPr/>
                    <w:tc>
                      <w:tcPr>
                        <w:vAlign w:val="top"/>
                      </w:tcPr>
                      <w:p>
                        <w:r>
                          <w:rPr>
                            <w:i/>
                          </w:rPr>
                          <w:t xml:space="preserve">Overall weekly level</w:t>
                        </w:r>
                      </w:p>
                    </w:tc>
                    <w:tc>
                      <w:tcPr>
                        <w:vAlign w:val="top"/>
                      </w:tcPr>
                      <w:p>
                        <w:r>
                          <w:rPr>
                            <w:i/>
                          </w:rPr>
                          <w:t xml:space="preserve">Up to 28</w:t>
                        </w:r>
                      </w:p>
                      <w:p>
                        <w:r>
                          <w:rPr>
                            <w:i/>
                          </w:rPr>
                          <w:t xml:space="preserve">Per week</w:t>
                        </w:r>
                      </w:p>
                    </w:tc>
                    <w:tc>
                      <w:tcPr>
                        <w:vAlign w:val="top"/>
                      </w:tcPr>
                      <w:p>
                        <w:r>
                          <w:rPr>
                            <w:i/>
                          </w:rPr>
                          <w:t xml:space="preserve">29 to 42</w:t>
                        </w:r>
                      </w:p>
                      <w:p>
                        <w:r>
                          <w:rPr>
                            <w:i/>
                          </w:rPr>
                          <w:t xml:space="preserve">Per week</w:t>
                        </w:r>
                      </w:p>
                    </w:tc>
                    <w:tc>
                      <w:tcPr>
                        <w:vAlign w:val="top"/>
                      </w:tcPr>
                      <w:p>
                        <w:r>
                          <w:rPr>
                            <w:i/>
                          </w:rPr>
                          <w:t xml:space="preserve">43 or more</w:t>
                        </w:r>
                      </w:p>
                      <w:p>
                        <w:r>
                          <w:rPr>
                            <w:i/>
                          </w:rPr>
                          <w:t xml:space="preserve">Per week</w:t>
                        </w:r>
                      </w:p>
                    </w:tc>
                  </w:tr>
                  <w:tr>
                    <w:trPr/>
                    <w:tc>
                      <w:tcPr>
                        <w:vAlign w:val="top"/>
                      </w:tcPr>
                      <w:p>
                        <w:r>
                          <w:rPr>
                            <w:i/>
                          </w:rPr>
                          <w:t xml:space="preserve">Females</w:t>
                        </w:r>
                      </w:p>
                      <w:p>
                        <w:r>
                          <w:rPr>
                            <w:i/>
                            <w:sz w:val="20"/>
                          </w:rPr>
                          <w:t xml:space="preserve">(on an average day)</w:t>
                        </w:r>
                      </w:p>
                    </w:tc>
                    <w:tc>
                      <w:tcPr>
                        <w:vAlign w:val="top"/>
                      </w:tcPr>
                      <w:p>
                        <w:r>
                          <w:rPr>
                            <w:i/>
                          </w:rPr>
                          <w:t xml:space="preserve">Up to 2</w:t>
                        </w:r>
                      </w:p>
                    </w:tc>
                    <w:tc>
                      <w:tcPr>
                        <w:vAlign w:val="top"/>
                      </w:tcPr>
                      <w:p>
                        <w:r>
                          <w:rPr>
                            <w:i/>
                          </w:rPr>
                          <w:t xml:space="preserve">3 to 4</w:t>
                        </w:r>
                      </w:p>
                    </w:tc>
                    <w:tc>
                      <w:tcPr>
                        <w:vAlign w:val="top"/>
                      </w:tcPr>
                      <w:p>
                        <w:r>
                          <w:rPr>
                            <w:i/>
                          </w:rPr>
                          <w:t xml:space="preserve">5 or more</w:t>
                        </w:r>
                      </w:p>
                    </w:tc>
                  </w:tr>
                  <w:tr>
                    <w:trPr/>
                    <w:tc>
                      <w:tcPr>
                        <w:vAlign w:val="top"/>
                      </w:tcPr>
                      <w:p>
                        <w:r>
                          <w:rPr>
                            <w:i/>
                          </w:rPr>
                          <w:t xml:space="preserve">Overall weekly level</w:t>
                        </w:r>
                      </w:p>
                    </w:tc>
                    <w:tc>
                      <w:tcPr>
                        <w:vAlign w:val="top"/>
                      </w:tcPr>
                      <w:p>
                        <w:r>
                          <w:rPr>
                            <w:i/>
                          </w:rPr>
                          <w:t xml:space="preserve">Up to 14</w:t>
                        </w:r>
                      </w:p>
                      <w:p>
                        <w:r>
                          <w:rPr>
                            <w:i/>
                          </w:rPr>
                          <w:t xml:space="preserve">Per week</w:t>
                        </w:r>
                      </w:p>
                    </w:tc>
                    <w:tc>
                      <w:tcPr>
                        <w:vAlign w:val="top"/>
                      </w:tcPr>
                      <w:p>
                        <w:r>
                          <w:rPr>
                            <w:i/>
                          </w:rPr>
                          <w:t xml:space="preserve">15 to 28</w:t>
                        </w:r>
                      </w:p>
                      <w:p>
                        <w:r>
                          <w:rPr>
                            <w:i/>
                          </w:rPr>
                          <w:t xml:space="preserve">Per week</w:t>
                        </w:r>
                      </w:p>
                    </w:tc>
                    <w:tc>
                      <w:tcPr>
                        <w:vAlign w:val="top"/>
                      </w:tcPr>
                      <w:p>
                        <w:r>
                          <w:rPr>
                            <w:i/>
                          </w:rPr>
                          <w:t xml:space="preserve">29 or more</w:t>
                        </w:r>
                      </w:p>
                      <w:p>
                        <w:r>
                          <w:rPr>
                            <w:i/>
                          </w:rPr>
                          <w:t xml:space="preserve">Per week</w:t>
                        </w:r>
                      </w:p>
                    </w:tc>
                  </w:tr>
                </w:tbl>
                <w:p>
                  <w:r>
                    <w:rPr>
                      <w:i/>
                    </w:rPr>
                    <w:t xml:space="preserve"> </w:t>
                  </w:r>
                </w:p>
                <w:p>
                  <w:r>
                    <w:rPr>
                      <w:i/>
                      <w:sz w:val="20"/>
                    </w:rPr>
                    <w:t xml:space="preserve">Source: </w:t>
                  </w:r>
                  <w:r>
                    <w:rPr>
                      <w:i/>
                      <w:sz w:val="20"/>
                    </w:rPr>
                    <w:t xml:space="preserve">NH&amp;MRC Australian Alcohol Guidelines: Health Risk and Benefits 2001.</w:t>
                  </w:r>
                </w:p>
                <w:p>
                  <w:r>
                    <w:rPr>
                      <w:i/>
                    </w:rP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4c3aaff4c540b8">
                    <w:r>
                      <w:rPr>
                        <w:rStyle w:val="Hyperlink"/>
                      </w:rPr>
                      <w:t xml:space="preserve">Person—blood pressure (diastolic)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r>
                    <w:br/>
                  </w:r>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73e5147d774e09">
                    <w:r>
                      <w:rPr>
                        <w:rStyle w:val="Hyperlink"/>
                      </w:rPr>
                      <w:t xml:space="preserve">Person—blood pressure (systolic) (measured), millimetres of mercury NN[N]</w:t>
                    </w:r>
                  </w:hyperlink>
                </w:p>
                <w:p>
                  <w:r>
                    <w:rPr>
                      <w:b/>
                      <w:i/>
                      <w:color w:val="333333"/>
                    </w:rPr>
                    <w:t xml:space="preserve">DSS specific information:</w:t>
                  </w:r>
                </w:p>
                <w:p>
                  <w:r>
                    <w:t xml:space="preserve">In the primary care setting, blood pressure on both arms should be measured at the first visit, particularly if there is evidence of peripheral vascular disease.</w:t>
                  </w:r>
                </w:p>
                <w:p>
                  <w:r>
                    <w:t xml:space="preserve">Variation of up to 5 mm Hg in blood pressure between arms can be acceptable. In certain conditions (e.g. chronic aortic dissection, subclavian artery stenosis) all blood pressure recordings should be taken from the arm with the highest reading.</w:t>
                  </w:r>
                </w:p>
                <w:p>
                  <w:r>
                    <w:t xml:space="preserve">Measure sitting and standing blood pressures in elderly and diabetic patients or in other situations in which orthostatic hypotension might be suspected.</w:t>
                  </w:r>
                </w:p>
                <w:p>
                  <w:r>
                    <w:t xml:space="preserve">Measure and record heart rate and rhythm. Note: Atrial fibrillation in a patient with hypertension indicates increased risk of stroke.</w:t>
                  </w:r>
                </w:p>
                <w:p>
                  <w:r>
                    <w:t xml:space="preserve">In all patients, consideration should be given to obtaining blood pressure measurements outside the clinic setting either by self-measurement of blood pressure at home or by non-invasive ambulatory blood pressure monitoring.</w:t>
                  </w:r>
                </w:p>
                <w:p>
                  <w:r>
                    <w:t xml:space="preserve">Target-organ damage and cardiovascular outcome relate more closely to blood pressures measured outside the clinic, particularly with ambulatory monitoring. An accurate, reliable machine and technique are essential if home blood pressure monitoring is to be used. In up to 30% of patients who are hypertensive in the clinic, blood pressure outside the clinic is within acceptable limits ('white coat' hypertension).</w:t>
                  </w:r>
                </w:p>
                <w:p>
                  <w:r>
                    <w:t xml:space="preserve">High blood pressure is a major risk factor for coronary heart disease, heart failure, stroke, and renal failure with the risk increasing along with the level of blood pressure (Ashwell 1997; DHSH 1994b; Whelton 1994; Kannel 1991). The higher the blood pressure, the higher the risk of both stroke and coronary heart disease. The dividing line between normotension and hypertension is arbitrary.</w:t>
                  </w:r>
                </w:p>
                <w:p>
                  <w:r>
                    <w:t xml:space="preserve">Both systolic and diastolic blood pressures are predictors of heart, stroke and vascular disease at all ages (Kannel 1991), although diastolic blood pressure is a weaker predictor of death due to coronary heart disease (Neaton &amp; Wentworth 1992).</w:t>
                  </w:r>
                </w:p>
                <w:p>
                  <w:r>
                    <w:t xml:space="preserve">The risk of disease increases as the level of blood pressure increases. When blood pressure is lowered by 4-6 mm Hg over two to three years, it is estimated that the risk reduces by14 per cent in patients with coronary heart disease and by 42 per cent in stroke patients (Collins et al 1990; Rose 1992.) When high blood pressure is controlled by medication, the risk of cardiovascular disease is reduced, but not to the levels of unaffected people.</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1fa9da200949ce">
                    <w:r>
                      <w:rPr>
                        <w:rStyle w:val="Hyperlink"/>
                      </w:rPr>
                      <w:t xml:space="preserve">Person—cardiovascular disease condition targeted by drug therapy,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51e86ffbab4488">
                    <w:r>
                      <w:rPr>
                        <w:rStyle w:val="Hyperlink"/>
                      </w:rPr>
                      <w:t xml:space="preserve">Person—cholesterol level (measured), total millimoles per litre N[N].N</w:t>
                    </w:r>
                  </w:hyperlink>
                </w:p>
                <w:p>
                  <w:r>
                    <w:rPr>
                      <w:b/>
                      <w:i/>
                      <w:color w:val="333333"/>
                    </w:rPr>
                    <w:t xml:space="preserve">DSS specific information:</w:t>
                  </w:r>
                </w:p>
                <w:p>
                  <w: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t xml:space="preserve">Many studies have demonstrated the significance of blood cholesterol components as risk factors for heart, stroke and vascular disease.</w:t>
                  </w:r>
                </w:p>
                <w:p>
                  <w:r>
                    <w:t xml:space="preserve">Several generalisations can be made from these cholesterol lowering trials:</w:t>
                  </w:r>
                </w:p>
                <w:p>
                  <w:pPr>
                    <w:pStyle w:val="ListParagraph"/>
                    <w:numPr>
                      <w:ilvl w:val="0"/>
                      <w:numId w:val="6"/>
                    </w:numPr>
                  </w:pPr>
                  <w: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6"/>
                    </w:numPr>
                  </w:pPr>
                  <w:r>
                    <w:t xml:space="preserve">It should be emphasised, however, that this conclusion does not necessarily apply beyond the range of cholesterol levels which have been tested in these studies. </w:t>
                  </w:r>
                </w:p>
                <w:p>
                  <w:pPr>
                    <w:pStyle w:val="ListParagraph"/>
                    <w:numPr>
                      <w:ilvl w:val="0"/>
                      <w:numId w:val="6"/>
                    </w:numPr>
                  </w:pPr>
                  <w:r>
                    <w:t xml:space="preserve">That the benefits of cholesterol lowering are apparent in people with and without coronary artery disease. </w:t>
                  </w:r>
                </w:p>
                <w:p>
                  <w:r>
                    <w:t xml:space="preserve">There is high level evidence that in patients with existing coronary heart disease, lipid intervention therapy reduces the risk of subsequent stroke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4af655ce354604">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53f5ad58b94a97">
                    <w:r>
                      <w:rPr>
                        <w:rStyle w:val="Hyperlink"/>
                      </w:rPr>
                      <w:t xml:space="preserve">Person—creatinine serum level, micromoles per litre NN[NN]</w:t>
                    </w:r>
                  </w:hyperlink>
                </w:p>
                <w:p>
                  <w:r>
                    <w:rPr>
                      <w:b/>
                      <w:i/>
                      <w:color w:val="333333"/>
                    </w:rPr>
                    <w:t xml:space="preserve">DSS specific information:</w:t>
                  </w:r>
                </w:p>
                <w:p>
                  <w:r>
                    <w:t xml:space="preserve">In settings where the monitoring of a person's health is ongoing and where a measure can change over time (such as general practice), the Service contact—service contact date, DDMMYYYY should be recorded.</w:t>
                  </w:r>
                </w:p>
                <w:p>
                  <w:r>
                    <w:t xml:space="preserve">Record absolute result of the most recent serum creatinine measurement in the last 12 months to the nearest µmol/L (micromoles per litre).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d9dfb0469d434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d7da1f29294e5d">
                    <w:r>
                      <w:rPr>
                        <w:rStyle w:val="Hyperlink"/>
                      </w:rPr>
                      <w:t xml:space="preserve">Person—diabetes mellitus status, code NN</w:t>
                    </w:r>
                  </w:hyperlink>
                </w:p>
                <w:p>
                  <w:r>
                    <w:rPr>
                      <w:b/>
                      <w:i/>
                      <w:color w:val="333333"/>
                    </w:rPr>
                    <w:t xml:space="preserve">DSS specific information:</w:t>
                  </w:r>
                </w:p>
                <w:p>
                  <w:r>
                    <w:t xml:space="preserve">People with diabetes have two to five times increased risk of developing heart, stroke and vascular disease (Zimmet &amp; Alberti 1997). Cardiovascular disease is the most common cause of death in people with diabetes.</w:t>
                  </w:r>
                </w:p>
                <w:p>
                  <w:r>
                    <w:t xml:space="preserve">Diabetes is also an important cause of stroke, and people with diabetes may have a worse prognosis after stroke.</w:t>
                  </w:r>
                </w:p>
                <w:p>
                  <w:r>
                    <w:t xml:space="preserve">Heart, stroke and vascular disease and diabetes share common risk factors, but also diabetes is an independent risk factor for heart, stroke and vascular disease.</w:t>
                  </w:r>
                </w:p>
                <w:p>
                  <w:r>
                    <w:t xml:space="preserve">During the 1995 National Health Survey, about 15 per cent of those with diabetes reported having heart disease, at almost six times the rate noted among people without diabetes. In 1996-97, almost one in six hospital separations, with coronary heart disease as any listed diagnosis, also had diabetes recorded as an associated diagnosis. Heart disease appears earlier in life and is more often fatal among those with diabetes.</w:t>
                  </w:r>
                </w:p>
                <w:p>
                  <w:r>
                    <w:t xml:space="preserve">Diabetes may accentuate the role of elevated blood pressure in stroke. The incidence and prevalence of peripheral vascular disease in those with diabetes increase with the duration of the peripheral vascular disease.</w:t>
                  </w:r>
                </w:p>
                <w:p>
                  <w:r>
                    <w:t xml:space="preserve">Mortality is increased among patients with peripheral vascular disease and diabetes, in particular if foot ulcerations, infection or gangrene occur. There is limited information on whether the presence of heart, stroke and vascular disease promotes diabetes in some way.</w:t>
                  </w:r>
                </w:p>
                <w:p>
                  <w:r>
                    <w:t xml:space="preserve">High blood pressure, high cholesterol and obesity are often present along with diabetes. As well as all being independent cardiovascular risk factors, when they are in combination with glucose intolerance (a feature of diabetes) and other risk factors such as physical inactivity and smoking, these factors present a greater risk for heart, stroke and vascular disease.</w:t>
                  </w:r>
                </w:p>
                <w:p>
                  <w:r>
                    <w:t xml:space="preserve">Evidence is accumulating that high cholesterol and glucose intolerance, which often occur together, may have a common aetiological factor. Despite these similarities, trends in cardiovascular mortality and diabetes incidence and mortality are moving in opposite directions.</w:t>
                  </w:r>
                </w:p>
                <w:p>
                  <w:r>
                    <w:t xml:space="preserve">While the ageing of the population following reductions in cardiovascular mortality may have contributed to these contrasting trends, the role of other factors also needs to be clearly understood if common risk factor prevention strategies are to be considered. (From Commonwealth Department of Health &amp; Aged Care and Australian Institute of Health and Welfare (1999) National Health Priority Areas Report: Cardiovascular Health).</w:t>
                  </w:r>
                </w:p>
                <w:p>
                  <w:r>
                    <w:t xml:space="preserve">In settings such as general practice where the monitoring of a person's health is ongoing and where diabetes status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81cf6d9ced4713">
                    <w:r>
                      <w:rPr>
                        <w:rStyle w:val="Hyperlink"/>
                      </w:rPr>
                      <w:t xml:space="preserve">Person—diabetes therapy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382855d37d44ab">
                    <w:r>
                      <w:rPr>
                        <w:rStyle w:val="Hyperlink"/>
                      </w:rPr>
                      <w:t xml:space="preserve">Person—formal community support access indicator (current),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14151ae11b41f0">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d44d9b068548a8">
                    <w:r>
                      <w:rPr>
                        <w:rStyle w:val="Hyperlink"/>
                      </w:rPr>
                      <w:t xml:space="preserve">Person—high-density lipoprotein cholesterol level (measured), total millimoles per litre [N].NN</w:t>
                    </w:r>
                  </w:hyperlink>
                </w:p>
                <w:p>
                  <w:r>
                    <w:rPr>
                      <w:b/>
                      <w:i/>
                      <w:color w:val="333333"/>
                    </w:rPr>
                    <w:t xml:space="preserve">DSS specific information:</w:t>
                  </w:r>
                </w:p>
                <w:p>
                  <w:r>
                    <w:t xml:space="preserve">High-density Lipoprotein Cholesterol (HDL-C) is easily measured and has been shown to be a negative predictor of future coronary events.</w:t>
                  </w:r>
                </w:p>
                <w:p>
                  <w: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78b8f05f0747f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79a2620a0e4f58">
                    <w:r>
                      <w:rPr>
                        <w:rStyle w:val="Hyperlink"/>
                      </w:rPr>
                      <w:t xml:space="preserve">Person—informal carer existence indicator, code N</w:t>
                    </w:r>
                  </w:hyperlink>
                </w:p>
                <w:p>
                  <w:r>
                    <w:rPr>
                      <w:b/>
                      <w:i/>
                      <w:color w:val="333333"/>
                    </w:rPr>
                    <w:t xml:space="preserve">DSS specific information:</w:t>
                  </w:r>
                </w:p>
                <w:p>
                  <w: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9547d4c684408a">
                    <w:r>
                      <w:rPr>
                        <w:rStyle w:val="Hyperlink"/>
                      </w:rPr>
                      <w:t xml:space="preserve">Person—labour force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fe40edfded4bac">
                    <w:r>
                      <w:rPr>
                        <w:rStyle w:val="Hyperlink"/>
                      </w:rPr>
                      <w:t xml:space="preserve">Person—living arrangement, health 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c3f0e719564bc8">
                    <w:r>
                      <w:rPr>
                        <w:rStyle w:val="Hyperlink"/>
                      </w:rPr>
                      <w:t xml:space="preserve">Person—low-density lipoprotein cholesterol level (calculated), total millimoles per litre N[N].N</w:t>
                    </w:r>
                  </w:hyperlink>
                </w:p>
                <w:p>
                  <w:r>
                    <w:rPr>
                      <w:b/>
                      <w:i/>
                      <w:color w:val="333333"/>
                    </w:rPr>
                    <w:t xml:space="preserve">DSS specific information:</w:t>
                  </w:r>
                </w:p>
                <w:p>
                  <w:r>
                    <w:t xml:space="preserve">Many studies have demonstrated the significance of blood cholesterol components as risk factors for heart, stroke and vascular disease.</w:t>
                  </w:r>
                </w:p>
                <w:p>
                  <w:r>
                    <w:t xml:space="preserve">Scientific studies have shown a continuous relationship between lipid levels and Coronary Heart Disease (CHD) and overwhelming evidence that lipid lowering interventions reduces CHD progression, morbidity and mortality.</w:t>
                  </w:r>
                </w:p>
                <w:p>
                  <w:r>
                    <w:t xml:space="preserve">There are many large-scale, prospective population studies defining the relationship between plasma total (and Low-density Lipoprotein (LDL)) cholesterol and the future risk of developing CHD. The results of prospective population studies are consistent and support several general conclusions:</w:t>
                  </w:r>
                </w:p>
                <w:p>
                  <w:pPr>
                    <w:pStyle w:val="ListParagraph"/>
                    <w:numPr>
                      <w:ilvl w:val="0"/>
                      <w:numId w:val="7"/>
                    </w:numPr>
                  </w:pPr>
                  <w:r>
                    <w:t xml:space="preserve">the majority of people with CHD do not have markedly elevated levels of plasma total cholesterol or LDL-C, </w:t>
                  </w:r>
                </w:p>
                <w:p>
                  <w:pPr>
                    <w:pStyle w:val="ListParagraph"/>
                    <w:numPr>
                      <w:ilvl w:val="0"/>
                      <w:numId w:val="7"/>
                    </w:numPr>
                  </w:pPr>
                  <w:r>
                    <w:t xml:space="preserve">there is a continuous positive but curvilinear relationship between the concentration of plasma total (and LDL) cholesterol and the risk of having a coronary event and of dying from CHD, </w:t>
                  </w:r>
                </w:p>
                <w:p>
                  <w:pPr>
                    <w:pStyle w:val="ListParagraph"/>
                    <w:numPr>
                      <w:ilvl w:val="0"/>
                      <w:numId w:val="7"/>
                    </w:numPr>
                  </w:pPr>
                  <w:r>
                    <w:t xml:space="preserve">there is no evidence that a low level of plasma (or LDL) cholesterol predisposes to an increase in non-coronary mortality.</w:t>
                  </w:r>
                </w:p>
                <w:p>
                  <w:r>
                    <w:t xml:space="preserve">The excess non-coronary mortality at low cholesterol levels in the Honolulu Heart Study (Yano et al. 1983; Stemmermann et al. 1991) was apparent only in people who smoked and is consistent with a view that smokers may have occult smoking related disease that is responsible for both an increased mortality and a low plasma cholesterol.</w:t>
                  </w:r>
                </w:p>
                <w:p>
                  <w:r>
                    <w:t xml:space="preserve">It should be emphasised that the prospective studies demonstrate an association between plasma total cholesterol and LDL-C and the risk of developing CHD. (Lipid Management Guidelines - 2001, MJA 2001; 175: S57-S88 and Commonwealth Department of Health &amp; Ageing and Australian Institute of Health and Welfare (1999) National Health Priority Areas Report: Cardiovascular Health 1998. AIHW Cat. No. PHE 9. HEALTH and AIHW, Canberra pgs 14-17).</w:t>
                  </w:r>
                </w:p>
                <w:p>
                  <w:r>
                    <w:t xml:space="preserve">In settings such as general practice where the monitoring of a person's health is ongoing and where a measure can change over time, the service contact date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bf80c9bde1401e">
                    <w:r>
                      <w:rPr>
                        <w:rStyle w:val="Hyperlink"/>
                      </w:rPr>
                      <w:t xml:space="preserve">Person—number of cigarettes smoked (per day), total N[N]</w:t>
                    </w:r>
                  </w:hyperlink>
                </w:p>
                <w:p>
                  <w:r>
                    <w:rPr>
                      <w:b/>
                      <w:i/>
                      <w:color w:val="333333"/>
                    </w:rPr>
                    <w:t xml:space="preserve">DSS specific information:</w:t>
                  </w:r>
                </w:p>
                <w:p>
                  <w:r>
                    <w:t xml:space="preserve">The number of cigarettes smoked is an important measure of the magnitude of the tobacco problem for an individual. Research shows that of Australians who smoke, the overwhelming majority smoke cigarettes (manufactured or roll-your-own) rather than other tobacco products. From a public health point of view, consumption level is relevant only for regular smokers (those who smoke daily or at least weekly).</w:t>
                  </w:r>
                </w:p>
                <w:p>
                  <w:r>
                    <w:t xml:space="preserve">Data on quantity smoked can be used to:</w:t>
                  </w:r>
                </w:p>
                <w:p>
                  <w:pPr>
                    <w:pStyle w:val="ListParagraph"/>
                    <w:numPr>
                      <w:ilvl w:val="0"/>
                      <w:numId w:val="8"/>
                    </w:numPr>
                  </w:pPr>
                  <w:r>
                    <w:t xml:space="preserve">evaluate health promotion and disease prevention programs (assessment of interventions)</w:t>
                  </w:r>
                </w:p>
                <w:p>
                  <w:pPr>
                    <w:pStyle w:val="ListParagraph"/>
                    <w:numPr>
                      <w:ilvl w:val="0"/>
                      <w:numId w:val="8"/>
                    </w:numPr>
                  </w:pPr>
                  <w:r>
                    <w:t xml:space="preserve">monitor health risk factors and progress towards National Health Goals and Targets</w:t>
                  </w:r>
                </w:p>
                <w:p>
                  <w:pPr>
                    <w:pStyle w:val="ListParagraph"/>
                    <w:numPr>
                      <w:ilvl w:val="0"/>
                      <w:numId w:val="8"/>
                    </w:numPr>
                  </w:pPr>
                  <w:r>
                    <w:t xml:space="preserve">ascertain determinants and consequences of smoking</w:t>
                  </w:r>
                </w:p>
                <w:p>
                  <w:pPr>
                    <w:pStyle w:val="ListParagraph"/>
                    <w:numPr>
                      <w:ilvl w:val="0"/>
                      <w:numId w:val="8"/>
                    </w:numPr>
                  </w:pPr>
                  <w:r>
                    <w:t xml:space="preserve">assess a person's exposure to tobacco smoke.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c7a208f86a469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708202da504072">
                    <w:r>
                      <w:rPr>
                        <w:rStyle w:val="Hyperlink"/>
                      </w:rPr>
                      <w:t xml:space="preserve">Person—physical activity sufficiency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30f82b90ce47e1">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bb7b06bf1e4dbe">
                    <w:r>
                      <w:rPr>
                        <w:rStyle w:val="Hyperlink"/>
                      </w:rPr>
                      <w:t xml:space="preserve">Person—premature cardiovascular disease family history status, code N</w:t>
                    </w:r>
                  </w:hyperlink>
                </w:p>
                <w:p>
                  <w:r>
                    <w:rPr>
                      <w:b/>
                      <w:i/>
                      <w:color w:val="333333"/>
                    </w:rPr>
                    <w:t xml:space="preserve">DSS specific information:</w:t>
                  </w:r>
                </w:p>
                <w:p>
                  <w:r>
                    <w:t xml:space="preserve">Having a family history of cardiovascular disease (CVD) is a risk factor for CVD and the risk increases if the event in the family member occurs at a young age. For vascular risk assessment a premature family history is considered to be present where a first-degree relative under age 60 years (woman or man) has had a vascular event/condition diagnosed. The evidence of family history being a strong risk factor for stroke only applies to certain limited stroke subtypes in certain populations.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c79bb9276c4ddd">
                    <w:r>
                      <w:rPr>
                        <w:rStyle w:val="Hyperlink"/>
                      </w:rPr>
                      <w:t xml:space="preserve">Person—proteinuria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4bb421431a40f6">
                    <w:r>
                      <w:rPr>
                        <w:rStyle w:val="Hyperlink"/>
                      </w:rPr>
                      <w:t xml:space="preserve">Person—renal disease therapy, code N</w:t>
                    </w:r>
                  </w:hyperlink>
                </w:p>
                <w:p>
                  <w:r>
                    <w:rPr>
                      <w:b/>
                      <w:i/>
                      <w:color w:val="333333"/>
                    </w:rPr>
                    <w:t xml:space="preserve">DSS specific information:</w:t>
                  </w:r>
                </w:p>
                <w:p>
                  <w:r>
                    <w:t xml:space="preserve">Nephrotoxic agents (including radiocontrast) should be avoided where possible.</w:t>
                  </w:r>
                  <w:r>
                    <w:br/>
                  </w:r>
                  <w:r>
                    <w:t xml:space="preserve">Drugs that impair auto-regulation of glomerular filtration rate (GFR) (NSAIDs, COX-2, ACEI, ATRA) should be used with caution in renal impairment, particularly when patients are acutely unwell for other reasons (sepsis, peri-operative etc).</w:t>
                  </w:r>
                </w:p>
                <w:p>
                  <w: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t xml:space="preserve">Drugs, which are primarily excreted by the kidney (e.g. metformin, sotalol, cisapride, etc.) need to be used with caution in patients with renal impairment. The calculated GFR needs to be determined and the dose reduced or the drug avoided as appropriate.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783beb3eb1460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8b49d610ed471a">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ae5302bf7543cb">
                    <w:r>
                      <w:rPr>
                        <w:rStyle w:val="Hyperlink"/>
                      </w:rPr>
                      <w:t xml:space="preserve">Person—triglyceride level (measured), total millimoles per litre N[N].N</w:t>
                    </w:r>
                  </w:hyperlink>
                </w:p>
                <w:p>
                  <w:r>
                    <w:rPr>
                      <w:b/>
                      <w:i/>
                      <w:color w:val="333333"/>
                    </w:rPr>
                    <w:t xml:space="preserve">DSS specific information:</w:t>
                  </w:r>
                </w:p>
                <w:p>
                  <w: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9"/>
                    </w:numPr>
                  </w:pPr>
                  <w:r>
                    <w:t xml:space="preserve">an elevated concentration of plasma triglyceride (&gt; 2.0 mmol/L) is predictive of CHD when associated with either an increased concentration of LDL-C or a decreased concentration of HDL-C. </w:t>
                  </w:r>
                </w:p>
                <w:p>
                  <w:pPr>
                    <w:pStyle w:val="ListParagraph"/>
                    <w:numPr>
                      <w:ilvl w:val="0"/>
                      <w:numId w:val="9"/>
                    </w:numPr>
                  </w:pPr>
                  <w: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838eb3271644b9">
                    <w:r>
                      <w:rPr>
                        <w:rStyle w:val="Hyperlink"/>
                      </w:rPr>
                      <w:t xml:space="preserve">Person—vascular condition status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7f09e8d22b4cca">
                    <w:r>
                      <w:rPr>
                        <w:rStyle w:val="Hyperlink"/>
                      </w:rPr>
                      <w:t xml:space="preserve">Person—vascular procedures (history),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a53dfa135a4c68">
                    <w:r>
                      <w:rPr>
                        <w:rStyle w:val="Hyperlink"/>
                      </w:rPr>
                      <w:t xml:space="preserve">Person—waist circumference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6336ebccb4990">
                    <w:r>
                      <w:rPr>
                        <w:rStyle w:val="Hyperlink"/>
                      </w:rPr>
                      <w:t xml:space="preserve">Person—weight (measured), total kilograms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c55399da56456d">
                    <w:r>
                      <w:rPr>
                        <w:rStyle w:val="Hyperlink"/>
                      </w:rPr>
                      <w:t xml:space="preserve">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56a8c7fe727b41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353668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190cf653f54f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a8c7fe727b4189" /><Relationship Type="http://schemas.openxmlformats.org/officeDocument/2006/relationships/header" Target="/word/header1.xml" Id="Rb2307bccfc8948ca" /><Relationship Type="http://schemas.openxmlformats.org/officeDocument/2006/relationships/settings" Target="/word/settings.xml" Id="Re9356c799c7c4232" /><Relationship Type="http://schemas.openxmlformats.org/officeDocument/2006/relationships/styles" Target="/word/styles.xml" Id="R0d6cddc6878d4170" /><Relationship Type="http://schemas.openxmlformats.org/officeDocument/2006/relationships/hyperlink" Target="https://meteor.aihw.gov.au/RegistrationAuthority/12" TargetMode="External" Id="R1872c286ca994cbb" /><Relationship Type="http://schemas.openxmlformats.org/officeDocument/2006/relationships/numbering" Target="/word/numbering.xml" Id="R1fab050af6414fa6" /><Relationship Type="http://schemas.openxmlformats.org/officeDocument/2006/relationships/hyperlink" Target="https://meteor.aihw.gov.au/content/348289" TargetMode="External" Id="Rf3a54d46c24e48e1" /><Relationship Type="http://schemas.openxmlformats.org/officeDocument/2006/relationships/hyperlink" Target="https://meteor.aihw.gov.au/RegistrationAuthority/12" TargetMode="External" Id="Rd6ef4ce0bb0c48ff" /><Relationship Type="http://schemas.openxmlformats.org/officeDocument/2006/relationships/hyperlink" Target="https://meteor.aihw.gov.au/content/374213" TargetMode="External" Id="R85f655668e71428b" /><Relationship Type="http://schemas.openxmlformats.org/officeDocument/2006/relationships/hyperlink" Target="https://meteor.aihw.gov.au/RegistrationAuthority/12" TargetMode="External" Id="R35572db534bc4fa9" /><Relationship Type="http://schemas.openxmlformats.org/officeDocument/2006/relationships/hyperlink" Target="https://meteor.aihw.gov.au/content/270014" TargetMode="External" Id="R26203ddda3a44b26" /><Relationship Type="http://schemas.openxmlformats.org/officeDocument/2006/relationships/hyperlink" Target="https://meteor.aihw.gov.au/content/270338" TargetMode="External" Id="Re206a983b5f141f3" /><Relationship Type="http://schemas.openxmlformats.org/officeDocument/2006/relationships/hyperlink" Target="https://meteor.aihw.gov.au/content/270165" TargetMode="External" Id="R82b6eedae5b544b7" /><Relationship Type="http://schemas.openxmlformats.org/officeDocument/2006/relationships/hyperlink" Target="https://meteor.aihw.gov.au/content/302941" TargetMode="External" Id="R2c92b998382f4a71" /><Relationship Type="http://schemas.openxmlformats.org/officeDocument/2006/relationships/hyperlink" Target="https://meteor.aihw.gov.au/content/269993" TargetMode="External" Id="Rafcca704ee444e82" /><Relationship Type="http://schemas.openxmlformats.org/officeDocument/2006/relationships/hyperlink" Target="https://meteor.aihw.gov.au/content/270544" TargetMode="External" Id="R291b27a378e347af" /><Relationship Type="http://schemas.openxmlformats.org/officeDocument/2006/relationships/hyperlink" Target="https://meteor.aihw.gov.au/content/287224" TargetMode="External" Id="Rb49635063b26460f" /><Relationship Type="http://schemas.openxmlformats.org/officeDocument/2006/relationships/hyperlink" Target="https://meteor.aihw.gov.au/content/270249" TargetMode="External" Id="Rbdc5f53ce11049bf" /><Relationship Type="http://schemas.openxmlformats.org/officeDocument/2006/relationships/hyperlink" Target="https://meteor.aihw.gov.au/content/270247" TargetMode="External" Id="Rc052dc94d9b24b13" /><Relationship Type="http://schemas.openxmlformats.org/officeDocument/2006/relationships/hyperlink" Target="https://meteor.aihw.gov.au/content/270072" TargetMode="External" Id="Rd34c3aaff4c540b8" /><Relationship Type="http://schemas.openxmlformats.org/officeDocument/2006/relationships/hyperlink" Target="https://meteor.aihw.gov.au/content/270073" TargetMode="External" Id="Rf073e5147d774e09" /><Relationship Type="http://schemas.openxmlformats.org/officeDocument/2006/relationships/hyperlink" Target="https://meteor.aihw.gov.au/content/270193" TargetMode="External" Id="R7e1fa9da200949ce" /><Relationship Type="http://schemas.openxmlformats.org/officeDocument/2006/relationships/hyperlink" Target="https://meteor.aihw.gov.au/content/270403" TargetMode="External" Id="R5251e86ffbab4488" /><Relationship Type="http://schemas.openxmlformats.org/officeDocument/2006/relationships/hyperlink" Target="https://meteor.aihw.gov.au/content/270277" TargetMode="External" Id="R374af655ce354604" /><Relationship Type="http://schemas.openxmlformats.org/officeDocument/2006/relationships/hyperlink" Target="https://meteor.aihw.gov.au/content/270392" TargetMode="External" Id="Re453f5ad58b94a97" /><Relationship Type="http://schemas.openxmlformats.org/officeDocument/2006/relationships/hyperlink" Target="https://meteor.aihw.gov.au/content/287007" TargetMode="External" Id="Radd9dfb0469d434e" /><Relationship Type="http://schemas.openxmlformats.org/officeDocument/2006/relationships/hyperlink" Target="https://meteor.aihw.gov.au/content/270194" TargetMode="External" Id="R47d7da1f29294e5d" /><Relationship Type="http://schemas.openxmlformats.org/officeDocument/2006/relationships/hyperlink" Target="https://meteor.aihw.gov.au/content/270236" TargetMode="External" Id="Rd081cf6d9ced4713" /><Relationship Type="http://schemas.openxmlformats.org/officeDocument/2006/relationships/hyperlink" Target="https://meteor.aihw.gov.au/content/270169" TargetMode="External" Id="R5e382855d37d44ab" /><Relationship Type="http://schemas.openxmlformats.org/officeDocument/2006/relationships/hyperlink" Target="https://meteor.aihw.gov.au/content/270361" TargetMode="External" Id="R9414151ae11b41f0" /><Relationship Type="http://schemas.openxmlformats.org/officeDocument/2006/relationships/hyperlink" Target="https://meteor.aihw.gov.au/content/270401" TargetMode="External" Id="R14d44d9b068548a8" /><Relationship Type="http://schemas.openxmlformats.org/officeDocument/2006/relationships/hyperlink" Target="https://meteor.aihw.gov.au/content/291036" TargetMode="External" Id="R7a78b8f05f0747f2" /><Relationship Type="http://schemas.openxmlformats.org/officeDocument/2006/relationships/hyperlink" Target="https://meteor.aihw.gov.au/content/320939" TargetMode="External" Id="R8479a2620a0e4f58" /><Relationship Type="http://schemas.openxmlformats.org/officeDocument/2006/relationships/hyperlink" Target="https://meteor.aihw.gov.au/content/270112" TargetMode="External" Id="R989547d4c684408a" /><Relationship Type="http://schemas.openxmlformats.org/officeDocument/2006/relationships/hyperlink" Target="https://meteor.aihw.gov.au/content/299712" TargetMode="External" Id="Ra0fe40edfded4bac" /><Relationship Type="http://schemas.openxmlformats.org/officeDocument/2006/relationships/hyperlink" Target="https://meteor.aihw.gov.au/content/270402" TargetMode="External" Id="R0bc3f0e719564bc8" /><Relationship Type="http://schemas.openxmlformats.org/officeDocument/2006/relationships/hyperlink" Target="https://meteor.aihw.gov.au/content/270332" TargetMode="External" Id="R09bf80c9bde1401e" /><Relationship Type="http://schemas.openxmlformats.org/officeDocument/2006/relationships/hyperlink" Target="https://meteor.aihw.gov.au/content/290046" TargetMode="External" Id="R59c7a208f86a4691" /><Relationship Type="http://schemas.openxmlformats.org/officeDocument/2006/relationships/hyperlink" Target="https://meteor.aihw.gov.au/content/270054" TargetMode="External" Id="Ra8708202da504072" /><Relationship Type="http://schemas.openxmlformats.org/officeDocument/2006/relationships/hyperlink" Target="https://meteor.aihw.gov.au/content/304128" TargetMode="External" Id="R7730f82b90ce47e1" /><Relationship Type="http://schemas.openxmlformats.org/officeDocument/2006/relationships/hyperlink" Target="https://meteor.aihw.gov.au/content/270280" TargetMode="External" Id="R66bb7b06bf1e4dbe" /><Relationship Type="http://schemas.openxmlformats.org/officeDocument/2006/relationships/hyperlink" Target="https://meteor.aihw.gov.au/content/270346" TargetMode="External" Id="R61c79bb9276c4ddd" /><Relationship Type="http://schemas.openxmlformats.org/officeDocument/2006/relationships/hyperlink" Target="https://meteor.aihw.gov.au/content/270264" TargetMode="External" Id="Raf4bb421431a40f6" /><Relationship Type="http://schemas.openxmlformats.org/officeDocument/2006/relationships/hyperlink" Target="https://meteor.aihw.gov.au/content/287316" TargetMode="External" Id="R2a783beb3eb1460e" /><Relationship Type="http://schemas.openxmlformats.org/officeDocument/2006/relationships/hyperlink" Target="https://meteor.aihw.gov.au/content/270311" TargetMode="External" Id="Rb18b49d610ed471a" /><Relationship Type="http://schemas.openxmlformats.org/officeDocument/2006/relationships/hyperlink" Target="https://meteor.aihw.gov.au/content/270229" TargetMode="External" Id="Rc6ae5302bf7543cb" /><Relationship Type="http://schemas.openxmlformats.org/officeDocument/2006/relationships/hyperlink" Target="https://meteor.aihw.gov.au/content/269958" TargetMode="External" Id="R0f838eb3271644b9" /><Relationship Type="http://schemas.openxmlformats.org/officeDocument/2006/relationships/hyperlink" Target="https://meteor.aihw.gov.au/content/269962" TargetMode="External" Id="R8b7f09e8d22b4cca" /><Relationship Type="http://schemas.openxmlformats.org/officeDocument/2006/relationships/hyperlink" Target="https://meteor.aihw.gov.au/content/270129" TargetMode="External" Id="R91a53dfa135a4c68" /><Relationship Type="http://schemas.openxmlformats.org/officeDocument/2006/relationships/hyperlink" Target="https://meteor.aihw.gov.au/content/270208" TargetMode="External" Id="R5c16336ebccb4990" /><Relationship Type="http://schemas.openxmlformats.org/officeDocument/2006/relationships/hyperlink" Target="https://meteor.aihw.gov.au/content/270122" TargetMode="External" Id="R7ac55399da56456d" /></Relationships>
</file>

<file path=word/_rels/header1.xml.rels>&#65279;<?xml version="1.0" encoding="utf-8"?><Relationships xmlns="http://schemas.openxmlformats.org/package/2006/relationships"><Relationship Type="http://schemas.openxmlformats.org/officeDocument/2006/relationships/image" Target="/media/image.png" Id="Rbd190cf653f54f29" /></Relationships>
</file>