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a693daa2f148cd" /></Relationships>
</file>

<file path=word/document.xml><?xml version="1.0" encoding="utf-8"?>
<w:document xmlns:r="http://schemas.openxmlformats.org/officeDocument/2006/relationships" xmlns:w="http://schemas.openxmlformats.org/wordprocessingml/2006/main">
  <w:body>
    <w:p>
      <w:pPr>
        <w:pStyle w:val="Title"/>
      </w:pPr>
      <w:r>
        <w:t>Client—service activity type provided, SAAP accompanying child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provided, SAAP accompanying child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service type provided (SAAP accompanying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activity type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96dc78a8604ff8">
              <w:r>
                <w:rPr>
                  <w:rStyle w:val="Hyperlink"/>
                  <w:color w:val="244061"/>
                </w:rPr>
                <w:t xml:space="preserve">Community Services (retired)</w:t>
              </w:r>
            </w:hyperlink>
            <w:r>
              <w:rPr>
                <w:rStyle w:val="row-content"/>
                <w:color w:val="244061"/>
              </w:rPr>
              <w:t xml:space="preserve">, Superseded 01/07/2011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provided to an accompanying child of a SAAP client,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699774aece4963">
              <w:r>
                <w:rPr>
                  <w:rStyle w:val="Hyperlink"/>
                </w:rPr>
                <w:t xml:space="preserve">Client—service activity type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fef3c12f07482c">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a2cc27df1dbc4d96">
              <w:r>
                <w:rPr>
                  <w:rStyle w:val="Hyperlink"/>
                  <w:color w:val="244061"/>
                </w:rPr>
                <w:t xml:space="preserve">Homelessness</w:t>
              </w:r>
            </w:hyperlink>
            <w:r>
              <w:rPr>
                <w:rStyle w:val="row-content"/>
                <w:color w:val="244061"/>
              </w:rPr>
              <w:t xml:space="preserve">, Superseded 10/08/2018</w:t>
            </w:r>
          </w:p>
          <w:p>
            <w:pPr>
              <w:spacing w:before="0" w:after="0"/>
            </w:pPr>
            <w:hyperlink w:history="true" r:id="Rc1a71a1dd2ef47e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provided to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e542ed1f084fd4">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f588fff9c34d96">
              <w:r>
                <w:rPr>
                  <w:rStyle w:val="Hyperlink"/>
                </w:rPr>
                <w:t xml:space="preserve">Service activity type provided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ec9437b7e64b42">
              <w:r>
                <w:rPr>
                  <w:rStyle w:val="Hyperlink"/>
                </w:rPr>
                <w:t xml:space="preserve">Type of support services for accompanying child SAAP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1f97469e5c4f5a">
              <w:r>
                <w:rPr>
                  <w:rStyle w:val="Hyperlink"/>
                  <w:color w:val="244061"/>
                </w:rPr>
                <w:t xml:space="preserve">Community Services (retired)</w:t>
              </w:r>
            </w:hyperlink>
            <w:r>
              <w:rPr>
                <w:rStyle w:val="row-content"/>
                <w:color w:val="244061"/>
              </w:rPr>
              <w:t xml:space="preserve">, Superseded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support services for a child accompanying a SAAP client.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SAAP/CAP accommodation (including THMs and other SAAP managed properties)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School liaison/child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School liaison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Personal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Help with 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Sexual/physical abuse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Skills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Structured play/skill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support/advocacy</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Access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Specialist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Specialist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Basic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Showers/hygiene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service activity provided follow these links: 'Service activity type needed and provided for SAAP accompanying child code mapping from NCCS to SAAP', and 'Service activity type referral made for SAAP accompanying child code mapping from NCCS to SAAP'.</w:t>
            </w:r>
          </w:p>
          <w:p>
            <w:pPr>
              <w:spacing w:after="160"/>
            </w:pPr>
            <w:r>
              <w:rPr>
                <w:rStyle w:val="row-content-rich-text"/>
              </w:rPr>
              <w:t xml:space="preserve">CODE 1 Help with behavioural problems</w:t>
            </w:r>
          </w:p>
          <w:p>
            <w:pPr>
              <w:spacing w:after="160"/>
            </w:pPr>
            <w:r>
              <w:rPr>
                <w:rStyle w:val="row-content-rich-text"/>
              </w:rPr>
              <w:t xml:space="preserve">This option refers to assistance or support addressing the behavioural problems of the child.</w:t>
            </w:r>
          </w:p>
          <w:p>
            <w:pPr>
              <w:spacing w:after="160"/>
            </w:pPr>
            <w:r>
              <w:rPr>
                <w:rStyle w:val="row-content-rich-text"/>
              </w:rPr>
              <w:t xml:space="preserve">CODE 3 Child care</w:t>
            </w:r>
          </w:p>
          <w:p>
            <w:pPr>
              <w:spacing w:after="160"/>
            </w:pPr>
            <w:r>
              <w:rPr>
                <w:rStyle w:val="row-content-rich-text"/>
              </w:rPr>
              <w:t xml:space="preserve">This option refers to the care of a child by someone other than the child’s parents (where parent is taken to mean biological, adoptive or step parent of the child, the child’s legal guardian, or the de facto partner of the child’s parent). It includes care of a school aged child after school (after school care) or during school vacations or holidays (holiday/vacation care).</w:t>
            </w:r>
          </w:p>
          <w:p>
            <w:pPr>
              <w:spacing w:after="160"/>
            </w:pPr>
            <w:r>
              <w:rPr>
                <w:rStyle w:val="row-content-rich-text"/>
              </w:rPr>
              <w:t xml:space="preserve">CODE 4 School liaison</w:t>
            </w:r>
          </w:p>
          <w:p>
            <w:pPr>
              <w:spacing w:after="160"/>
            </w:pPr>
            <w:r>
              <w:rPr>
                <w:rStyle w:val="row-content-rich-text"/>
              </w:rPr>
              <w:t xml:space="preserve">This option refers to work undertaken on behalf of a child that is related to the child’s education. This includes, for example, assistance with enrolments, and discussion with teachers, administrators or counsellors concerning the child’s progress or behaviour.</w:t>
            </w:r>
          </w:p>
          <w:p>
            <w:pPr>
              <w:spacing w:after="160"/>
            </w:pPr>
            <w:r>
              <w:rPr>
                <w:rStyle w:val="row-content-rich-text"/>
              </w:rPr>
              <w:t xml:space="preserve">CODE 5 Access arrangements</w:t>
            </w:r>
          </w:p>
          <w:p>
            <w:pPr>
              <w:spacing w:after="160"/>
            </w:pPr>
            <w:r>
              <w:rPr>
                <w:rStyle w:val="row-content-rich-text"/>
              </w:rPr>
              <w:t xml:space="preserve">This option refers to work or assistance provided on behalf of a child to ensure that both parents have adequate access to the child, and to ensure that access is provided in such a way that satisfies the terms set out in a court order, protects the child, and guarantees the return of the child to the appropriate custodian. This includes arranging or supervising access visits.</w:t>
            </w:r>
          </w:p>
          <w:p>
            <w:pPr>
              <w:spacing w:after="160"/>
            </w:pPr>
            <w:r>
              <w:rPr>
                <w:rStyle w:val="row-content-rich-text"/>
              </w:rPr>
              <w:t xml:space="preserve">CODE 10 Culturally specific services</w:t>
            </w:r>
          </w:p>
          <w:p>
            <w:pPr>
              <w:spacing w:after="160"/>
            </w:pPr>
            <w:r>
              <w:rPr>
                <w:rStyle w:val="row-content-rich-text"/>
              </w:rPr>
              <w:t xml:space="preserve">This option refers to support and assistance delivered in a way that is sensitive to the child’s ethnic or cultural background.</w:t>
            </w:r>
          </w:p>
          <w:p>
            <w:pPr>
              <w:spacing w:after="160"/>
            </w:pPr>
            <w:r>
              <w:rPr>
                <w:rStyle w:val="row-content-rich-text"/>
              </w:rPr>
              <w:t xml:space="preserve">CODE 11 Meals</w:t>
            </w:r>
          </w:p>
          <w:p>
            <w:pPr>
              <w:spacing w:after="160"/>
            </w:pPr>
            <w:r>
              <w:rPr>
                <w:rStyle w:val="row-content-rich-text"/>
              </w:rPr>
              <w:t xml:space="preserve">This option refers to the actual provision of food. Money to purchase food or food vouchers given directly to the child should be included under Other.</w:t>
            </w:r>
          </w:p>
          <w:p>
            <w:pPr>
              <w:spacing w:after="160"/>
            </w:pPr>
            <w:r>
              <w:rPr>
                <w:rStyle w:val="row-content-rich-text"/>
              </w:rPr>
              <w:t xml:space="preserve">CODE 12 Shower/hygiene</w:t>
            </w:r>
          </w:p>
          <w:p>
            <w:pPr>
              <w:spacing w:after="160"/>
            </w:pPr>
            <w:r>
              <w:rPr>
                <w:rStyle w:val="row-content-rich-text"/>
              </w:rPr>
              <w:t xml:space="preserve">This option refers to the use of such facilities that are managed by the SAAP agency.</w:t>
            </w:r>
          </w:p>
          <w:p>
            <w:pPr>
              <w:spacing w:after="160"/>
            </w:pPr>
            <w:r>
              <w:rPr>
                <w:rStyle w:val="row-content-rich-text"/>
              </w:rPr>
              <w:t xml:space="preserve">CODE 13 Recreation</w:t>
            </w:r>
          </w:p>
          <w:p>
            <w:pPr>
              <w:spacing w:after="160"/>
            </w:pPr>
            <w:r>
              <w:rPr>
                <w:rStyle w:val="row-content-rich-text"/>
              </w:rPr>
              <w:t xml:space="preserve">This option refers to the provision and coordination of leisure activities for the child except those covered by structured play/skill development.</w:t>
            </w:r>
          </w:p>
          <w:p>
            <w:pPr>
              <w:spacing w:after="160"/>
            </w:pPr>
            <w:r>
              <w:rPr>
                <w:rStyle w:val="row-content-rich-text"/>
              </w:rPr>
              <w:t xml:space="preserve">CODE 14 Transport</w:t>
            </w:r>
          </w:p>
          <w:p>
            <w:pPr>
              <w:spacing w:after="160"/>
            </w:pPr>
            <w:r>
              <w:rPr>
                <w:rStyle w:val="row-content-rich-text"/>
              </w:rPr>
              <w:t xml:space="preserve">This option includes driving a child to an appointment or location. Money for a tram, train or bus given directly to the child should be included under Other.</w:t>
            </w:r>
          </w:p>
          <w:p>
            <w:pPr>
              <w:spacing w:after="160"/>
            </w:pPr>
            <w:r>
              <w:rPr>
                <w:rStyle w:val="row-content-rich-text"/>
              </w:rPr>
              <w:t xml:space="preserve">CODE 15 Advice/information</w:t>
            </w:r>
            <w:r>
              <w:br/>
            </w:r>
            <w:r>
              <w:rPr>
                <w:rStyle w:val="row-content-rich-text"/>
              </w:rPr>
              <w:t xml:space="preserve">This option refers to information given to the child or parent/guardian on behalf of the child that relates to the needs of the child as identified by the worker. It can include information about other services where it is left to the child (or parent/guardian) to follow up the information. For example, this would be selected if you gave a child (or parent/guardian) the names of three counselling services and left it up to the child (or parent /guardian) to contact those services.</w:t>
            </w:r>
          </w:p>
          <w:p>
            <w:pPr>
              <w:spacing w:after="160"/>
            </w:pPr>
            <w:r>
              <w:rPr>
                <w:rStyle w:val="row-content-rich-text"/>
              </w:rPr>
              <w:t xml:space="preserve">CODE 17 Skills education</w:t>
            </w:r>
          </w:p>
          <w:p>
            <w:pPr>
              <w:spacing w:after="160"/>
            </w:pPr>
            <w:r>
              <w:rPr>
                <w:rStyle w:val="row-content-rich-text"/>
              </w:rPr>
              <w:t xml:space="preserve">This option refers to guidance provided to the child in a number of different areas, such as teaching them social skills (ie. building friendships), living skills/personal development (ie. cooking skills, literacy skills, personal care), anger management and conflict resolution skills.</w:t>
            </w:r>
          </w:p>
          <w:p>
            <w:pPr>
              <w:spacing w:after="160"/>
            </w:pPr>
            <w:r>
              <w:rPr>
                <w:rStyle w:val="row-content-rich-text"/>
              </w:rPr>
              <w:t xml:space="preserve">CODE 18 Advocacy</w:t>
            </w:r>
          </w:p>
          <w:p>
            <w:pPr>
              <w:spacing w:after="160"/>
            </w:pPr>
            <w:r>
              <w:rPr>
                <w:rStyle w:val="row-content-rich-text"/>
              </w:rPr>
              <w:t xml:space="preserve">This option involves work undertaken on behalf of a child to ensure the child has proper representation and access to services. This includes liaison with police, schools, probation officers, etc.</w:t>
            </w:r>
          </w:p>
          <w:p>
            <w:pPr>
              <w:spacing w:after="160"/>
            </w:pPr>
            <w:r>
              <w:rPr>
                <w:rStyle w:val="row-content-rich-text"/>
              </w:rPr>
              <w:t xml:space="preserve">CODE 19 Health/medical services</w:t>
            </w:r>
          </w:p>
          <w:p>
            <w:pPr>
              <w:spacing w:after="160"/>
            </w:pPr>
            <w:r>
              <w:rPr>
                <w:rStyle w:val="row-content-rich-text"/>
              </w:rPr>
              <w:t xml:space="preserve">This option includes assessment of the child’s health and medical needs and any treatment provided or referred.</w:t>
            </w:r>
          </w:p>
          <w:p>
            <w:pPr>
              <w:spacing w:after="160"/>
            </w:pPr>
            <w:r>
              <w:rPr>
                <w:rStyle w:val="row-content-rich-text"/>
              </w:rPr>
              <w:t xml:space="preserve">CODE 21 SAAP/CAP accommodation (including THMs and other SAAP managed properties)</w:t>
            </w:r>
          </w:p>
          <w:p>
            <w:pPr>
              <w:spacing w:after="160"/>
            </w:pPr>
            <w:r>
              <w:rPr>
                <w:rStyle w:val="row-content-rich-text"/>
              </w:rPr>
              <w:t xml:space="preserve">This option refers to supported accommodation that is owned or directly managed and maintained by your agency, or that has been paid for by your agency using SAAP funds. This does not include financial assistance for rent or other housing costs.</w:t>
            </w:r>
          </w:p>
          <w:p>
            <w:pPr>
              <w:spacing w:after="160"/>
            </w:pPr>
            <w:r>
              <w:rPr>
                <w:rStyle w:val="row-content-rich-text"/>
              </w:rPr>
              <w:t xml:space="preserve">CODE 22 Structured play/skill development</w:t>
            </w:r>
          </w:p>
          <w:p>
            <w:pPr>
              <w:spacing w:after="160"/>
            </w:pPr>
            <w:r>
              <w:rPr>
                <w:rStyle w:val="row-content-rich-text"/>
              </w:rPr>
              <w:t xml:space="preserve">This option refers to play or skill development provided for children’s development, or to achieve particular goals.</w:t>
            </w:r>
          </w:p>
          <w:p>
            <w:pPr>
              <w:spacing w:after="160"/>
            </w:pPr>
            <w:r>
              <w:rPr>
                <w:rStyle w:val="row-content-rich-text"/>
              </w:rPr>
              <w:t xml:space="preserve">CODE 23 Specialist counselling</w:t>
            </w:r>
          </w:p>
          <w:p>
            <w:pPr>
              <w:spacing w:after="160"/>
            </w:pPr>
            <w:r>
              <w:rPr>
                <w:rStyle w:val="row-content-rich-text"/>
              </w:rPr>
              <w:t xml:space="preserve">This option refers to counselling provided, usually on more than one occasion, by a qualified counsellor.</w:t>
            </w:r>
          </w:p>
          <w:p>
            <w:pPr>
              <w:spacing w:after="160"/>
            </w:pPr>
            <w:r>
              <w:rPr>
                <w:rStyle w:val="row-content-rich-text"/>
              </w:rPr>
              <w:t xml:space="preserve">CODE 24 Sexual/physical abuse support</w:t>
            </w:r>
          </w:p>
          <w:p>
            <w:pPr>
              <w:spacing w:after="160"/>
            </w:pPr>
            <w:r>
              <w:rPr>
                <w:rStyle w:val="row-content-rich-text"/>
              </w:rPr>
              <w:t xml:space="preserve">This option refers to support which is supplied to help children deal with sexual or physical abuse. Specialist counselling should be indicated by ticking specialist counselling.</w:t>
            </w:r>
          </w:p>
          <w:p>
            <w:pPr>
              <w:spacing w:after="160"/>
            </w:pPr>
            <w:r>
              <w:rPr>
                <w:rStyle w:val="row-content-rich-text"/>
              </w:rPr>
              <w:t xml:space="preserve">CODE 88 Other</w:t>
            </w:r>
          </w:p>
          <w:p>
            <w:pPr/>
            <w:r>
              <w:rPr>
                <w:rStyle w:val="row-content-rich-text"/>
              </w:rPr>
              <w:t xml:space="preserve">This option allows any other assistance not listed above to be recorded. The support needed/provided/referred should be written if this option is chosen.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support services may be chosen that have been provided to the client as identified by the worker at the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can be used to show the range of support services that agencies provide, and whether the needs of clients can be met either through direct service provision at the agency or potentially through referrals to other services. This is important information for service and program planning.</w:t>
            </w:r>
          </w:p>
          <w:p>
            <w:pPr/>
            <w:r>
              <w:rPr>
                <w:rStyle w:val="row-content-rich-text"/>
              </w:rPr>
              <w:t xml:space="preserve">An unmet need is indicated where, for a SAAP client, a need has been identified for a support service, but the support has not been provided directly by the SAAP agency, and there has been no referral arranged to another service in order to receive services that cannot be provided by the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0a17ef310c04d35">
              <w:r>
                <w:rPr>
                  <w:rStyle w:val="Hyperlink"/>
                </w:rPr>
                <w:t xml:space="preserve">Client—needs assessment service activity outcome, code N</w:t>
              </w:r>
            </w:hyperlink>
          </w:p>
          <w:p>
            <w:pPr>
              <w:spacing w:before="0" w:after="0"/>
            </w:pPr>
            <w:r>
              <w:rPr>
                <w:rStyle w:val="row-content"/>
                <w:color w:val="244061"/>
              </w:rPr>
              <w:t xml:space="preserve">       </w:t>
            </w:r>
            <w:hyperlink w:history="true" r:id="Re96c1ad1b168434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1602c481d9f4a66">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d6a76dca504a72">
              <w:r>
                <w:rPr>
                  <w:rStyle w:val="Hyperlink"/>
                </w:rPr>
                <w:t xml:space="preserve">SAAP Client Collection National Minimum Data Set</w:t>
              </w:r>
            </w:hyperlink>
          </w:p>
          <w:p>
            <w:pPr>
              <w:spacing w:before="0" w:after="0"/>
            </w:pPr>
            <w:r>
              <w:rPr>
                <w:rStyle w:val="row-content"/>
                <w:color w:val="244061"/>
              </w:rPr>
              <w:t xml:space="preserve">       </w:t>
            </w:r>
            <w:hyperlink w:history="true" r:id="R2b29b53c90b14908">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data element should be collected for each accompanying child. </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4fd224cd0b6a42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352309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bf60915c2f4d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d224cd0b6a42aa" /><Relationship Type="http://schemas.openxmlformats.org/officeDocument/2006/relationships/header" Target="/word/header1.xml" Id="Rf4499fb86f034e13" /><Relationship Type="http://schemas.openxmlformats.org/officeDocument/2006/relationships/settings" Target="/word/settings.xml" Id="Re88e2d201c724aeb" /><Relationship Type="http://schemas.openxmlformats.org/officeDocument/2006/relationships/styles" Target="/word/styles.xml" Id="R9d098503808e4cd2" /><Relationship Type="http://schemas.openxmlformats.org/officeDocument/2006/relationships/hyperlink" Target="https://meteor.aihw.gov.au/RegistrationAuthority/1" TargetMode="External" Id="R5c96dc78a8604ff8" /><Relationship Type="http://schemas.openxmlformats.org/officeDocument/2006/relationships/hyperlink" Target="https://meteor.aihw.gov.au/content/352287" TargetMode="External" Id="Rac699774aece4963" /><Relationship Type="http://schemas.openxmlformats.org/officeDocument/2006/relationships/hyperlink" Target="https://meteor.aihw.gov.au/RegistrationAuthority/1" TargetMode="External" Id="R92fef3c12f07482c" /><Relationship Type="http://schemas.openxmlformats.org/officeDocument/2006/relationships/hyperlink" Target="https://meteor.aihw.gov.au/RegistrationAuthority/14" TargetMode="External" Id="Ra2cc27df1dbc4d96" /><Relationship Type="http://schemas.openxmlformats.org/officeDocument/2006/relationships/hyperlink" Target="https://meteor.aihw.gov.au/RegistrationAuthority/11" TargetMode="External" Id="Rc1a71a1dd2ef47e9" /><Relationship Type="http://schemas.openxmlformats.org/officeDocument/2006/relationships/hyperlink" Target="https://meteor.aihw.gov.au/content/268969" TargetMode="External" Id="R17e542ed1f084fd4" /><Relationship Type="http://schemas.openxmlformats.org/officeDocument/2006/relationships/hyperlink" Target="https://meteor.aihw.gov.au/content/357196" TargetMode="External" Id="R4ef588fff9c34d96" /><Relationship Type="http://schemas.openxmlformats.org/officeDocument/2006/relationships/hyperlink" Target="https://meteor.aihw.gov.au/content/338381" TargetMode="External" Id="R64ec9437b7e64b42" /><Relationship Type="http://schemas.openxmlformats.org/officeDocument/2006/relationships/hyperlink" Target="https://meteor.aihw.gov.au/RegistrationAuthority/1" TargetMode="External" Id="Rb01f97469e5c4f5a" /><Relationship Type="http://schemas.openxmlformats.org/officeDocument/2006/relationships/hyperlink" Target="https://meteor.aihw.gov.au/content/406162" TargetMode="External" Id="R60a17ef310c04d35" /><Relationship Type="http://schemas.openxmlformats.org/officeDocument/2006/relationships/hyperlink" Target="https://meteor.aihw.gov.au/RegistrationAuthority/14" TargetMode="External" Id="Re96c1ad1b1684341" /><Relationship Type="http://schemas.openxmlformats.org/officeDocument/2006/relationships/hyperlink" Target="https://meteor.aihw.gov.au/RegistrationAuthority/11" TargetMode="External" Id="R41602c481d9f4a66" /><Relationship Type="http://schemas.openxmlformats.org/officeDocument/2006/relationships/hyperlink" Target="https://meteor.aihw.gov.au/content/339019" TargetMode="External" Id="R20d6a76dca504a72" /><Relationship Type="http://schemas.openxmlformats.org/officeDocument/2006/relationships/hyperlink" Target="https://meteor.aihw.gov.au/RegistrationAuthority/1" TargetMode="External" Id="R2b29b53c90b14908" /></Relationships>
</file>

<file path=word/_rels/header1.xml.rels>&#65279;<?xml version="1.0" encoding="utf-8"?><Relationships xmlns="http://schemas.openxmlformats.org/package/2006/relationships"><Relationship Type="http://schemas.openxmlformats.org/officeDocument/2006/relationships/image" Target="/media/image.png" Id="R40bf60915c2f4df5" /></Relationships>
</file>