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f943a1ba043f9" /></Relationships>
</file>

<file path=word/document.xml><?xml version="1.0" encoding="utf-8"?>
<w:document xmlns:r="http://schemas.openxmlformats.org/officeDocument/2006/relationships" xmlns:w="http://schemas.openxmlformats.org/wordprocessingml/2006/main">
  <w:body>
    <w:p>
      <w:pPr>
        <w:pStyle w:val="Title"/>
      </w:pPr>
      <w:r>
        <w:t>Health or health related function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or health related 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5c3575e2a45e9">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health or health related function.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 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 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 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 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 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 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 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 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 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dd2ff1c2c6249a2">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360f47a23674149">
              <w:r>
                <w:rPr>
                  <w:rStyle w:val="Hyperlink"/>
                  <w:b/>
                </w:rPr>
                <w:t xml:space="preserve">ambulatory care </w:t>
              </w:r>
            </w:hyperlink>
            <w:r>
              <w:rPr>
                <w:rStyle w:val="row-content-rich-text"/>
              </w:rPr>
              <w:t xml:space="preserve">mental health programs which are provided as </w:t>
            </w:r>
            <w:hyperlink w:tooltip="An examination, consultation, treatment or other service provided in an outpatient setting in a specialty unit or under an organisational arrangement administered by a hospital." w:history="true" r:id="R1854260e86c34e01">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642a706c57df4e4a">
              <w:r>
                <w:rPr>
                  <w:rStyle w:val="Hyperlink"/>
                  <w:b/>
                </w:rPr>
                <w:t xml:space="preserve">emergency department </w:t>
              </w:r>
            </w:hyperlink>
            <w:r>
              <w:rPr>
                <w:rStyle w:val="row-content-rich-text"/>
              </w:rPr>
              <w:t xml:space="preserve">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a56a2bab8bfa48ba">
              <w:r>
                <w:rPr>
                  <w:rStyle w:val="Hyperlink"/>
                  <w:b/>
                </w:rPr>
                <w:t xml:space="preserve">hospital in the home </w:t>
              </w:r>
            </w:hyperlink>
            <w:r>
              <w:rPr>
                <w:rStyle w:val="row-content-rich-text"/>
              </w:rPr>
              <w:t xml:space="preserve">services.</w:t>
            </w:r>
          </w:p>
          <w:p>
            <w:pPr>
              <w:spacing w:after="160"/>
            </w:pPr>
            <w:r>
              <w:rPr>
                <w:rStyle w:val="row-content-rich-text"/>
              </w:rPr>
              <w:t xml:space="preserve">Excludes emergency department and outpatient care provided to non-admitted patients, and community-based (non 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categories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beb8ea187e0b4f18">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8226883d22e434b">
              <w:r>
                <w:rPr>
                  <w:rStyle w:val="Hyperlink"/>
                  <w:b/>
                </w:rPr>
                <w:t xml:space="preserve">residential mental health service </w:t>
              </w:r>
            </w:hyperlink>
            <w:r>
              <w:rPr>
                <w:rStyle w:val="row-content-rich-text"/>
              </w:rPr>
              <w:t xml:space="preserve">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categories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c97cf094a5747f2">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2be5089f3add4d28">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categories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Communicable disease control is recorded using three sub-categories:</w:t>
            </w:r>
          </w:p>
          <w:p>
            <w:pPr>
              <w:spacing w:after="160"/>
            </w:pPr>
            <w:r>
              <w:rPr>
                <w:rStyle w:val="row-content-rich-text"/>
              </w:rPr>
              <w:t xml:space="preserve">HIV/AIDS, hepatitis C and sexually transmitted infections</w:t>
            </w:r>
          </w:p>
          <w:p>
            <w:pPr>
              <w:spacing w:after="160"/>
            </w:pPr>
            <w:r>
              <w:rPr>
                <w:rStyle w:val="row-content-rich-text"/>
              </w:rPr>
              <w:t xml:space="preserve">Needle and syringe programs</w:t>
            </w:r>
          </w:p>
          <w:p>
            <w:pPr>
              <w:spacing w:after="160"/>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7551688527bc49c5">
              <w:r>
                <w:rPr>
                  <w:rStyle w:val="Hyperlink"/>
                  <w:b/>
                </w:rPr>
                <w:t xml:space="preserve">public health </w:t>
              </w:r>
            </w:hyperlink>
            <w:r>
              <w:rPr>
                <w:rStyle w:val="row-content-rich-text"/>
              </w:rPr>
              <w:t xml:space="preserve">component of the HIV/AIDS, hepatitis C and STI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The Selected health promotion programs are:</w:t>
            </w:r>
          </w:p>
          <w:p>
            <w:pPr>
              <w:spacing w:after="160"/>
            </w:pPr>
            <w:r>
              <w:rPr>
                <w:rStyle w:val="row-content-rich-text"/>
              </w:rPr>
              <w:t xml:space="preserve">Healthy settings (for example municipal health planning)</w:t>
            </w:r>
          </w:p>
          <w:p>
            <w:pPr>
              <w:spacing w:after="160"/>
            </w:pPr>
            <w:r>
              <w:rPr>
                <w:rStyle w:val="row-content-rich-text"/>
              </w:rPr>
              <w:t xml:space="preserve">Public health nutrition</w:t>
            </w:r>
          </w:p>
          <w:p>
            <w:pPr>
              <w:spacing w:after="160"/>
            </w:pPr>
            <w:r>
              <w:rPr>
                <w:rStyle w:val="row-content-rich-text"/>
              </w:rPr>
              <w:t xml:space="preserve">Exercise and physical activity</w:t>
            </w:r>
          </w:p>
          <w:p>
            <w:pPr>
              <w:spacing w:after="160"/>
            </w:pPr>
            <w:r>
              <w:rPr>
                <w:rStyle w:val="row-content-rich-text"/>
              </w:rPr>
              <w:t xml:space="preserve">Personal hygiene</w:t>
            </w:r>
          </w:p>
          <w:p>
            <w:pPr>
              <w:spacing w:after="160"/>
            </w:pPr>
            <w:r>
              <w:rPr>
                <w:rStyle w:val="row-content-rich-text"/>
              </w:rPr>
              <w:t xml:space="preserve">Mental health awareness promotion</w:t>
            </w:r>
          </w:p>
          <w:p>
            <w:pPr>
              <w:spacing w:after="160"/>
            </w:pPr>
            <w:r>
              <w:rPr>
                <w:rStyle w:val="row-content-rich-text"/>
              </w:rPr>
              <w:t xml:space="preserve">Sun exposure and protection</w:t>
            </w:r>
          </w:p>
          <w:p>
            <w:pPr>
              <w:spacing w:after="160"/>
            </w:pPr>
            <w:r>
              <w:rPr>
                <w:rStyle w:val="row-content-rich-text"/>
              </w:rPr>
              <w:t xml:space="preserve">Injury prevention including suicide prevention and female genital mutilation.</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Organised immunisation is recorded using three sub-categories:</w:t>
            </w:r>
          </w:p>
          <w:p>
            <w:pPr>
              <w:spacing w:after="160"/>
            </w:pPr>
            <w:r>
              <w:rPr>
                <w:rStyle w:val="row-content-rich-text"/>
              </w:rPr>
              <w:t xml:space="preserve">Organised childhood immunisation (as defined by the National Health and Medical Research Council Schedule/Australian Standard Vaccination Schedule)</w:t>
            </w:r>
          </w:p>
          <w:p>
            <w:pPr>
              <w:spacing w:after="160"/>
            </w:pPr>
            <w:r>
              <w:rPr>
                <w:rStyle w:val="row-content-rich-text"/>
              </w:rPr>
              <w:t xml:space="preserve">Organised pneumococcal and influenza immunisation—the target groups for pneumococcal immunisation are Indigenous people over 50 years and high-risk Indigenous younger people aged 15–49 years. Influenza vaccine is available free to all Australians 65 years of age and over, Indigenous people over 50 years and high-risk Indigenous younger people aged 15–19 years.</w:t>
            </w:r>
          </w:p>
          <w:p>
            <w:pPr>
              <w:spacing w:after="160"/>
            </w:pPr>
            <w:r>
              <w:rPr>
                <w:rStyle w:val="row-content-rich-text"/>
              </w:rPr>
              <w:t xml:space="preserve">All other organised immunisation (for example tetanus)—as opposed to ad hoc or opportunistic immunisation.</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 The methodology used in deriving the estimates is set out in the Jurisdictions’ technical notes (section 11.2 of NPHER 2004-05).</w:t>
            </w:r>
          </w:p>
          <w:p>
            <w:pPr>
              <w:spacing w:after="160"/>
            </w:pPr>
            <w:r>
              <w:rPr>
                <w:rStyle w:val="row-content-rich-text"/>
              </w:rPr>
              <w:t xml:space="preserve">CODE 408   Public health – Bowel screening</w:t>
            </w:r>
          </w:p>
          <w:p>
            <w:pPr>
              <w:spacing w:after="160"/>
            </w:pPr>
            <w:r>
              <w:rPr>
                <w:rStyle w:val="row-content-rich-text"/>
              </w:rPr>
              <w:t xml:space="preserve">This category relates to organised bowel screening programs, such as the National Bowel Cancer Screening Program (NBCSP) and the Bowel Cancer Screening Pilot program. The screening pathway includes self administered home based tests by persons turning 55 years or 65 years of age across Australia who mail results in for analysis, the assessment/diagnostic service and program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reducing the overuse or abuse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spacing w:after="160"/>
            </w:pPr>
            <w:r>
              <w:rPr>
                <w:rStyle w:val="row-content-rich-text"/>
              </w:rPr>
              <w:t xml:space="preserve">Alcohol</w:t>
            </w:r>
          </w:p>
          <w:p>
            <w:pPr>
              <w:spacing w:after="160"/>
            </w:pPr>
            <w:r>
              <w:rPr>
                <w:rStyle w:val="row-content-rich-text"/>
              </w:rPr>
              <w:t xml:space="preserve">Tobacco</w:t>
            </w:r>
          </w:p>
          <w:p>
            <w:pPr>
              <w:spacing w:after="160"/>
            </w:pPr>
            <w:r>
              <w:rPr>
                <w:rStyle w:val="row-content-rich-text"/>
              </w:rPr>
              <w:t xml:space="preserve">Illicit and other drugs of dependence</w:t>
            </w:r>
          </w:p>
          <w:p>
            <w:pPr>
              <w:spacing w:after="160"/>
            </w:pPr>
            <w:r>
              <w:rPr>
                <w:rStyle w:val="row-content-rich-text"/>
              </w:rPr>
              <w:t xml:space="preserve">Mixed.</w:t>
            </w:r>
          </w:p>
          <w:p>
            <w:pPr>
              <w:spacing w:after="160"/>
            </w:pPr>
            <w:r>
              <w:rPr>
                <w:rStyle w:val="row-content-rich-text"/>
              </w:rPr>
              <w:t xml:space="preserve">CODE 410    Public health – Public health research</w:t>
            </w:r>
          </w:p>
          <w:p>
            <w:pPr>
              <w:spacing w:after="160"/>
            </w:pPr>
            <w:r>
              <w:rPr>
                <w:rStyle w:val="row-content-rich-text"/>
              </w:rPr>
              <w:t xml:space="preserve">The basic criterion for distinguishing public health research and development from other public health activities is the presence in research and development of an appreciable element of novelty and resolution of scientific and/or technical uncertainty.</w:t>
            </w:r>
          </w:p>
          <w:p>
            <w:pPr>
              <w:spacing w:after="160"/>
            </w:pPr>
            <w:r>
              <w:rPr>
                <w:rStyle w:val="row-content-rich-text"/>
              </w:rPr>
              <w:t xml:space="preserve">Includes mainly new or one-off research in the 8 core public health functions listed under codes 401 to 409.</w:t>
            </w:r>
          </w:p>
          <w:p>
            <w:pPr>
              <w:spacing w:after="160"/>
            </w:pPr>
            <w:r>
              <w:rPr>
                <w:rStyle w:val="row-content-rich-text"/>
              </w:rPr>
              <w:t xml:space="preserve">General research and development work relating to the running of ongoing public health programs is included under the other relevant public health activities in codes 401 to 409.</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categories 401 to 410 but which could not be further disaggregated.</w:t>
            </w:r>
          </w:p>
          <w:p>
            <w:pPr>
              <w:spacing w:after="160"/>
            </w:pPr>
            <w:r>
              <w:rPr>
                <w:rStyle w:val="row-content-rich-text"/>
              </w:rPr>
              <w:t xml:space="preserve">State and territory health authorities are only to report public health services under codes 401 to 409.</w:t>
            </w:r>
          </w:p>
          <w:p>
            <w:pPr>
              <w:spacing w:after="160"/>
            </w:pPr>
            <w:r>
              <w:rPr>
                <w:rStyle w:val="row-content-rich-text"/>
              </w:rPr>
              <w:t xml:space="preserve">CODE 501      Health 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Doctors Service, care 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 related care – Patient transport subsidies</w:t>
            </w:r>
          </w:p>
          <w:p>
            <w:pPr>
              <w:spacing w:after="160"/>
            </w:pPr>
            <w:r>
              <w:rPr>
                <w:rStyle w:val="row-content-rich-text"/>
              </w:rPr>
              <w:t xml:space="preserve">Government subsidies to private ambulance services e.g.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 when the latter is authorised and the costs are reimbursed to the patient (e.g. for patients undergoing renal dialysis or chemotherapy).</w:t>
            </w:r>
          </w:p>
          <w:p>
            <w:pPr>
              <w:spacing w:after="160"/>
            </w:pPr>
            <w:r>
              <w:rPr>
                <w:rStyle w:val="row-content-rich-text"/>
              </w:rPr>
              <w:t xml:space="preserve">CODE 503     Health 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 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&amp;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 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 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 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 related care reported under codes 501 to 506 and health assessments provided under the Aged Care Assessment Program which are reported under code 602.</w:t>
            </w:r>
          </w:p>
          <w:p>
            <w:pPr>
              <w:spacing w:after="160"/>
            </w:pPr>
            <w:r>
              <w:rPr>
                <w:rStyle w:val="row-content-rich-text"/>
              </w:rPr>
              <w:t xml:space="preserve">CODE 599     Health related care – Not further defined</w:t>
            </w:r>
          </w:p>
          <w:p>
            <w:pPr>
              <w:spacing w:after="160"/>
            </w:pPr>
            <w:r>
              <w:rPr>
                <w:rStyle w:val="row-content-rich-text"/>
              </w:rPr>
              <w:t xml:space="preserve">Comprises health related care that could be a combination of categories 501 to 506 but which could not be further disaggregated.</w:t>
            </w:r>
          </w:p>
          <w:p>
            <w:pPr>
              <w:spacing w:after="160"/>
            </w:pPr>
            <w:r>
              <w:rPr>
                <w:rStyle w:val="row-content-rich-text"/>
              </w:rPr>
              <w:t xml:space="preserve">State and territory health authorities are only to report health 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604.</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 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categories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1998. Australian Standard Research Classification. Cat. no. 1297.0. Canberra: ABS.</w:t>
            </w:r>
          </w:p>
          <w:p>
            <w:pPr>
              <w:spacing w:after="160"/>
            </w:pPr>
            <w:r>
              <w:rPr>
                <w:rStyle w:val="row-content-rich-text"/>
              </w:rPr>
              <w:t xml:space="preserve">Australian Government Department of Health and Ageing</w:t>
            </w:r>
            <w:r>
              <w:br/>
            </w:r>
            <w:r>
              <w:rPr>
                <w:rStyle w:val="row-content-rich-text"/>
              </w:rPr>
              <w:t xml:space="preserve">Medicare Benefits Schedule Book, 1 November 2006 available from </w:t>
            </w:r>
            <w:hyperlink w:history="true" r:id="R2859601763134627">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171018d35a44de">
              <w:r>
                <w:rPr>
                  <w:rStyle w:val="Hyperlink"/>
                </w:rPr>
                <w:t xml:space="preserve">Health or health related-function code NNN</w:t>
              </w:r>
            </w:hyperlink>
          </w:p>
          <w:p>
            <w:pPr>
              <w:pStyle w:val="registration-status"/>
              <w:spacing w:before="0" w:after="0"/>
            </w:pPr>
            <w:hyperlink w:history="true" r:id="Re0d677ebe8e64a39">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017b466f7e49ae">
              <w:r>
                <w:rPr>
                  <w:rStyle w:val="Hyperlink"/>
                </w:rPr>
                <w:t xml:space="preserve">Organisation—type of health or health related function, code NNN</w:t>
              </w:r>
            </w:hyperlink>
          </w:p>
          <w:p>
            <w:pPr>
              <w:pStyle w:val="registration-status"/>
              <w:spacing w:before="0" w:after="0"/>
            </w:pPr>
            <w:hyperlink w:history="true" r:id="Rd584510427824070">
              <w:r>
                <w:rPr>
                  <w:rStyle w:val="Hyperlink"/>
                  <w:color w:val="244061"/>
                </w:rPr>
                <w:t xml:space="preserve">Health</w:t>
              </w:r>
            </w:hyperlink>
            <w:r>
              <w:rPr>
                <w:rStyle w:val="row-content"/>
                <w:color w:val="244061"/>
              </w:rPr>
              <w:t xml:space="preserve">, Superseded 04/12/2013</w:t>
            </w:r>
          </w:p>
          <w:p>
            <w:r>
              <w:br/>
            </w:r>
          </w:p>
        </w:tc>
      </w:tr>
    </w:tbl>
    <w:p>
      <w:r>
        <w:br/>
      </w:r>
    </w:p>
    <w:sectPr>
      <w:footerReference xmlns:r="http://schemas.openxmlformats.org/officeDocument/2006/relationships" w:type="default" r:id="R983b043c3529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352162</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931bb1340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b043c35294b43" /><Relationship Type="http://schemas.openxmlformats.org/officeDocument/2006/relationships/header" Target="/word/header1.xml" Id="R13672fc5d0d44442" /><Relationship Type="http://schemas.openxmlformats.org/officeDocument/2006/relationships/settings" Target="/word/settings.xml" Id="Rde7c7ecf05954a18" /><Relationship Type="http://schemas.openxmlformats.org/officeDocument/2006/relationships/styles" Target="/word/styles.xml" Id="R3edf0d1b5bc54216" /><Relationship Type="http://schemas.openxmlformats.org/officeDocument/2006/relationships/hyperlink" Target="https://meteor.aihw.gov.au/RegistrationAuthority/12" TargetMode="External" Id="R0d35c3575e2a45e9" /><Relationship Type="http://schemas.openxmlformats.org/officeDocument/2006/relationships/hyperlink" Target="https://meteor.aihw.gov.au/content/327206" TargetMode="External" Id="R6dd2ff1c2c6249a2" /><Relationship Type="http://schemas.openxmlformats.org/officeDocument/2006/relationships/hyperlink" Target="https://meteor.aihw.gov.au/content/354366" TargetMode="External" Id="R7360f47a23674149" /><Relationship Type="http://schemas.openxmlformats.org/officeDocument/2006/relationships/hyperlink" Target="https://meteor.aihw.gov.au/content/336980" TargetMode="External" Id="R1854260e86c34e01" /><Relationship Type="http://schemas.openxmlformats.org/officeDocument/2006/relationships/hyperlink" Target="https://meteor.aihw.gov.au/content/327158" TargetMode="External" Id="R642a706c57df4e4a" /><Relationship Type="http://schemas.openxmlformats.org/officeDocument/2006/relationships/hyperlink" Target="https://meteor.aihw.gov.au/content/327308" TargetMode="External" Id="Ra56a2bab8bfa48ba" /><Relationship Type="http://schemas.openxmlformats.org/officeDocument/2006/relationships/hyperlink" Target="https://meteor.aihw.gov.au/content/327198" TargetMode="External" Id="Rbeb8ea187e0b4f18" /><Relationship Type="http://schemas.openxmlformats.org/officeDocument/2006/relationships/hyperlink" Target="https://meteor.aihw.gov.au/content/373049" TargetMode="External" Id="R18226883d22e434b" /><Relationship Type="http://schemas.openxmlformats.org/officeDocument/2006/relationships/hyperlink" Target="https://meteor.aihw.gov.au/content/354366" TargetMode="External" Id="R8c97cf094a5747f2" /><Relationship Type="http://schemas.openxmlformats.org/officeDocument/2006/relationships/hyperlink" Target="https://meteor.aihw.gov.au/content/327228" TargetMode="External" Id="R2be5089f3add4d28" /><Relationship Type="http://schemas.openxmlformats.org/officeDocument/2006/relationships/hyperlink" Target="https://meteor.aihw.gov.au/content/352234" TargetMode="External" Id="R7551688527bc49c5" /><Relationship Type="http://schemas.openxmlformats.org/officeDocument/2006/relationships/hyperlink" Target="http://www.health.gov.au/mbsonline" TargetMode="External" Id="R2859601763134627" /><Relationship Type="http://schemas.openxmlformats.org/officeDocument/2006/relationships/hyperlink" Target="https://meteor.aihw.gov.au/content/533043" TargetMode="External" Id="Ra1171018d35a44de" /><Relationship Type="http://schemas.openxmlformats.org/officeDocument/2006/relationships/hyperlink" Target="https://meteor.aihw.gov.au/RegistrationAuthority/12" TargetMode="External" Id="Re0d677ebe8e64a39" /><Relationship Type="http://schemas.openxmlformats.org/officeDocument/2006/relationships/hyperlink" Target="https://meteor.aihw.gov.au/content/352187" TargetMode="External" Id="Ra9017b466f7e49ae" /><Relationship Type="http://schemas.openxmlformats.org/officeDocument/2006/relationships/hyperlink" Target="https://meteor.aihw.gov.au/RegistrationAuthority/12" TargetMode="External" Id="Rd584510427824070" /></Relationships>
</file>

<file path=word/_rels/header1.xml.rels>&#65279;<?xml version="1.0" encoding="utf-8"?><Relationships xmlns="http://schemas.openxmlformats.org/package/2006/relationships"><Relationship Type="http://schemas.openxmlformats.org/officeDocument/2006/relationships/image" Target="/media/image.png" Id="R638931bb13404864" /></Relationships>
</file>